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jc w:val="center"/>
        <w:tblInd w:w="108" w:type="dxa"/>
        <w:tblLook w:val="01E0"/>
      </w:tblPr>
      <w:tblGrid>
        <w:gridCol w:w="9180"/>
      </w:tblGrid>
      <w:tr w:rsidR="00000665" w:rsidRPr="00000665" w:rsidTr="00000665">
        <w:trPr>
          <w:jc w:val="center"/>
        </w:trPr>
        <w:tc>
          <w:tcPr>
            <w:tcW w:w="9104" w:type="dxa"/>
            <w:hideMark/>
          </w:tcPr>
          <w:tbl>
            <w:tblPr>
              <w:tblW w:w="8789" w:type="dxa"/>
              <w:jc w:val="center"/>
              <w:tblLook w:val="01E0"/>
            </w:tblPr>
            <w:tblGrid>
              <w:gridCol w:w="3142"/>
              <w:gridCol w:w="3035"/>
              <w:gridCol w:w="2787"/>
            </w:tblGrid>
            <w:tr w:rsidR="00000665" w:rsidRPr="00000665">
              <w:trPr>
                <w:trHeight w:val="317"/>
                <w:jc w:val="center"/>
              </w:trPr>
              <w:tc>
                <w:tcPr>
                  <w:tcW w:w="2931" w:type="dxa"/>
                  <w:tcBorders>
                    <w:top w:val="nil"/>
                    <w:left w:val="nil"/>
                    <w:bottom w:val="single" w:sz="4" w:space="0" w:color="660066"/>
                    <w:right w:val="nil"/>
                  </w:tcBorders>
                  <w:vAlign w:val="center"/>
                  <w:hideMark/>
                </w:tcPr>
                <w:p w:rsidR="00000665" w:rsidRPr="00000665" w:rsidRDefault="00000665" w:rsidP="00000665">
                  <w:pPr>
                    <w:tabs>
                      <w:tab w:val="left" w:pos="567"/>
                      <w:tab w:val="center" w:pos="994"/>
                      <w:tab w:val="center" w:pos="3543"/>
                      <w:tab w:val="right" w:pos="6520"/>
                    </w:tabs>
                    <w:spacing w:line="240" w:lineRule="exact"/>
                    <w:rPr>
                      <w:rFonts w:ascii="Arial" w:hAnsi="Arial" w:cs="Arial"/>
                      <w:b/>
                      <w:sz w:val="16"/>
                      <w:szCs w:val="16"/>
                      <w:lang w:val="tr-TR" w:eastAsia="tr-TR"/>
                    </w:rPr>
                  </w:pPr>
                  <w:r w:rsidRPr="00000665">
                    <w:rPr>
                      <w:rFonts w:ascii="Arial" w:hAnsi="Arial" w:cs="Arial"/>
                      <w:sz w:val="16"/>
                      <w:szCs w:val="16"/>
                      <w:lang w:val="tr-TR" w:eastAsia="tr-TR"/>
                    </w:rPr>
                    <w:t>18 Şubat 2015 ÇARŞAMBA</w:t>
                  </w:r>
                </w:p>
              </w:tc>
              <w:tc>
                <w:tcPr>
                  <w:tcW w:w="2931" w:type="dxa"/>
                  <w:tcBorders>
                    <w:top w:val="nil"/>
                    <w:left w:val="nil"/>
                    <w:bottom w:val="single" w:sz="4" w:space="0" w:color="660066"/>
                    <w:right w:val="nil"/>
                  </w:tcBorders>
                  <w:vAlign w:val="center"/>
                  <w:hideMark/>
                </w:tcPr>
                <w:p w:rsidR="00000665" w:rsidRPr="00000665" w:rsidRDefault="00000665" w:rsidP="00000665">
                  <w:pPr>
                    <w:tabs>
                      <w:tab w:val="left" w:pos="567"/>
                      <w:tab w:val="center" w:pos="994"/>
                      <w:tab w:val="center" w:pos="3543"/>
                      <w:tab w:val="right" w:pos="6520"/>
                    </w:tabs>
                    <w:spacing w:line="240" w:lineRule="exact"/>
                    <w:jc w:val="center"/>
                    <w:rPr>
                      <w:rFonts w:ascii="Palatino Linotype" w:hAnsi="Palatino Linotype"/>
                      <w:b/>
                      <w:color w:val="800080"/>
                      <w:lang w:val="tr-TR" w:eastAsia="tr-TR"/>
                    </w:rPr>
                  </w:pPr>
                  <w:r w:rsidRPr="00000665">
                    <w:rPr>
                      <w:rFonts w:ascii="Palatino Linotype" w:hAnsi="Palatino Linotype"/>
                      <w:b/>
                      <w:color w:val="800080"/>
                      <w:lang w:val="tr-TR" w:eastAsia="tr-TR"/>
                    </w:rPr>
                    <w:t>Resmî Gazete</w:t>
                  </w:r>
                </w:p>
              </w:tc>
              <w:tc>
                <w:tcPr>
                  <w:tcW w:w="2927" w:type="dxa"/>
                  <w:tcBorders>
                    <w:top w:val="nil"/>
                    <w:left w:val="nil"/>
                    <w:bottom w:val="single" w:sz="4" w:space="0" w:color="660066"/>
                    <w:right w:val="nil"/>
                  </w:tcBorders>
                  <w:vAlign w:val="center"/>
                  <w:hideMark/>
                </w:tcPr>
                <w:p w:rsidR="00000665" w:rsidRPr="00000665" w:rsidRDefault="00000665" w:rsidP="00000665">
                  <w:pPr>
                    <w:spacing w:before="100" w:beforeAutospacing="1" w:after="100" w:afterAutospacing="1"/>
                    <w:jc w:val="right"/>
                    <w:rPr>
                      <w:rFonts w:ascii="Arial" w:hAnsi="Arial" w:cs="Arial"/>
                      <w:sz w:val="16"/>
                      <w:szCs w:val="16"/>
                      <w:lang w:val="tr-TR" w:eastAsia="tr-TR"/>
                    </w:rPr>
                  </w:pPr>
                  <w:r w:rsidRPr="00000665">
                    <w:rPr>
                      <w:rFonts w:ascii="Arial" w:hAnsi="Arial" w:cs="Arial"/>
                      <w:sz w:val="16"/>
                      <w:szCs w:val="16"/>
                      <w:lang w:val="tr-TR" w:eastAsia="tr-TR"/>
                    </w:rPr>
                    <w:t>Sayı : 29271</w:t>
                  </w:r>
                </w:p>
              </w:tc>
            </w:tr>
            <w:tr w:rsidR="00000665" w:rsidRPr="00000665">
              <w:trPr>
                <w:trHeight w:val="480"/>
                <w:jc w:val="center"/>
              </w:trPr>
              <w:tc>
                <w:tcPr>
                  <w:tcW w:w="8789" w:type="dxa"/>
                  <w:gridSpan w:val="3"/>
                  <w:vAlign w:val="center"/>
                  <w:hideMark/>
                </w:tcPr>
                <w:p w:rsidR="00000665" w:rsidRPr="00000665" w:rsidRDefault="00000665" w:rsidP="00000665">
                  <w:pPr>
                    <w:spacing w:before="100" w:beforeAutospacing="1" w:after="100" w:afterAutospacing="1"/>
                    <w:jc w:val="center"/>
                    <w:rPr>
                      <w:rFonts w:ascii="Arial" w:hAnsi="Arial" w:cs="Arial"/>
                      <w:b/>
                      <w:color w:val="000080"/>
                      <w:sz w:val="18"/>
                      <w:szCs w:val="18"/>
                      <w:lang w:val="tr-TR" w:eastAsia="tr-TR"/>
                    </w:rPr>
                  </w:pPr>
                  <w:r w:rsidRPr="00000665">
                    <w:rPr>
                      <w:rFonts w:ascii="Arial" w:hAnsi="Arial" w:cs="Arial"/>
                      <w:b/>
                      <w:color w:val="000080"/>
                      <w:sz w:val="18"/>
                      <w:szCs w:val="18"/>
                      <w:lang w:val="tr-TR" w:eastAsia="tr-TR"/>
                    </w:rPr>
                    <w:t>TEBLİĞ</w:t>
                  </w:r>
                </w:p>
              </w:tc>
            </w:tr>
            <w:tr w:rsidR="00000665" w:rsidRPr="00000665">
              <w:trPr>
                <w:trHeight w:val="480"/>
                <w:jc w:val="center"/>
              </w:trPr>
              <w:tc>
                <w:tcPr>
                  <w:tcW w:w="8789" w:type="dxa"/>
                  <w:gridSpan w:val="3"/>
                  <w:vAlign w:val="center"/>
                </w:tcPr>
                <w:p w:rsidR="00000665" w:rsidRPr="00000665" w:rsidRDefault="00000665" w:rsidP="00000665">
                  <w:pPr>
                    <w:tabs>
                      <w:tab w:val="left" w:pos="566"/>
                    </w:tabs>
                    <w:spacing w:line="240" w:lineRule="exact"/>
                    <w:ind w:firstLine="566"/>
                    <w:jc w:val="both"/>
                    <w:rPr>
                      <w:sz w:val="18"/>
                      <w:szCs w:val="18"/>
                      <w:u w:val="single"/>
                      <w:lang w:val="tr-TR" w:eastAsia="tr-TR"/>
                    </w:rPr>
                  </w:pPr>
                  <w:r w:rsidRPr="00000665">
                    <w:rPr>
                      <w:sz w:val="18"/>
                      <w:szCs w:val="18"/>
                      <w:u w:val="single"/>
                      <w:lang w:val="tr-TR" w:eastAsia="tr-TR"/>
                    </w:rPr>
                    <w:t>Sosyal Güvenlik Kurumundan:</w:t>
                  </w:r>
                </w:p>
                <w:p w:rsidR="00000665" w:rsidRPr="00000665" w:rsidRDefault="00000665" w:rsidP="00000665">
                  <w:pPr>
                    <w:tabs>
                      <w:tab w:val="left" w:pos="566"/>
                    </w:tabs>
                    <w:spacing w:before="56" w:line="240" w:lineRule="exact"/>
                    <w:jc w:val="center"/>
                    <w:rPr>
                      <w:b/>
                      <w:sz w:val="18"/>
                      <w:szCs w:val="18"/>
                      <w:lang w:val="tr-TR" w:eastAsia="tr-TR"/>
                    </w:rPr>
                  </w:pPr>
                  <w:r w:rsidRPr="00000665">
                    <w:rPr>
                      <w:b/>
                      <w:sz w:val="18"/>
                      <w:szCs w:val="18"/>
                      <w:lang w:val="tr-TR" w:eastAsia="tr-TR"/>
                    </w:rPr>
                    <w:t>SOSYAL GÜVENLİK KURUMU SAĞLIK UYGULAMA TEBLİĞİNDE</w:t>
                  </w:r>
                </w:p>
                <w:p w:rsidR="00000665" w:rsidRPr="00000665" w:rsidRDefault="00000665" w:rsidP="00000665">
                  <w:pPr>
                    <w:tabs>
                      <w:tab w:val="left" w:pos="566"/>
                    </w:tabs>
                    <w:spacing w:after="170" w:line="240" w:lineRule="exact"/>
                    <w:jc w:val="center"/>
                    <w:rPr>
                      <w:b/>
                      <w:sz w:val="18"/>
                      <w:szCs w:val="18"/>
                      <w:lang w:val="tr-TR" w:eastAsia="tr-TR"/>
                    </w:rPr>
                  </w:pPr>
                  <w:r w:rsidRPr="00000665">
                    <w:rPr>
                      <w:b/>
                      <w:sz w:val="18"/>
                      <w:szCs w:val="18"/>
                      <w:lang w:val="tr-TR" w:eastAsia="tr-TR"/>
                    </w:rPr>
                    <w:t>DEĞİŞİKLİK YAPILMASINA DAİR TEBLİĞ</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MADDE 1 – </w:t>
                  </w:r>
                  <w:r w:rsidRPr="00000665">
                    <w:rPr>
                      <w:sz w:val="18"/>
                      <w:szCs w:val="18"/>
                      <w:lang w:val="tr-TR" w:eastAsia="tr-TR"/>
                    </w:rPr>
                    <w:t xml:space="preserve">24/3/2013 tarihli ve 28597 sayılı Resmî Gazete ’de yayımlanan Sosyal Güvenlik Kurumu Sağlık Uygulama Tebliğinin 2.4.4.F-2 numaralı alt maddesinin üçüncü fıkrasına son cümle olarak aşağıdaki cümle eklenmiştir. </w:t>
                  </w:r>
                </w:p>
                <w:p w:rsidR="00000665" w:rsidRPr="00000665" w:rsidRDefault="00000665" w:rsidP="00000665">
                  <w:pPr>
                    <w:spacing w:before="100" w:beforeAutospacing="1" w:after="100" w:afterAutospacing="1" w:line="240" w:lineRule="exact"/>
                    <w:rPr>
                      <w:b/>
                      <w:sz w:val="18"/>
                      <w:szCs w:val="18"/>
                      <w:lang w:val="tr-TR" w:eastAsia="tr-TR"/>
                    </w:rPr>
                  </w:pPr>
                  <w:r w:rsidRPr="00000665">
                    <w:rPr>
                      <w:sz w:val="18"/>
                      <w:szCs w:val="18"/>
                      <w:lang w:val="tr-TR" w:eastAsia="tr-TR"/>
                    </w:rPr>
                    <w:t>“Ancak bölge seans kontrolüne tabi fizik tedavi ve rehabilitasyon uygulamaları için aynı bölgeden toplam 30 seans, iki farklı vücut bölgesinden toplam 60 seans fizik tedavi ve rehabilitasyon işlemlerinden daha fazla tedavi gereken durumlarda, bu kişilerin fizik tedavi ve rehabilitasyon uygulamaları Türk Silahlı Kuvvetleri ve Sağlık Bakanlığı’na bağlı sağlık hizmeti sunucularında görevli fiziksel tıp ve rehabilitasyon uzman hekimince 30’ar seanslık rapor düzenlenmesi ve tedavinin raporun düzenlendiği sağlık hizmeti sunucularınca yapılması halinde Kurumca karşılanır.”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 –</w:t>
                  </w:r>
                  <w:r w:rsidRPr="00000665">
                    <w:rPr>
                      <w:sz w:val="18"/>
                      <w:szCs w:val="18"/>
                      <w:lang w:val="tr-TR" w:eastAsia="tr-TR"/>
                    </w:rPr>
                    <w:t xml:space="preserve"> Aynı Tebliğin 2.4.4.F-3 numaralı alt maddesinin birinci fıkrasının (a) bendinde yer alan “SUT eki EK-2/D-2 Listesinde” ibaresinden sonra gelmek üzere “G80 ve”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MADDE 3 – </w:t>
                  </w:r>
                  <w:r w:rsidRPr="00000665">
                    <w:rPr>
                      <w:sz w:val="18"/>
                      <w:szCs w:val="18"/>
                      <w:lang w:val="tr-TR" w:eastAsia="tr-TR"/>
                    </w:rPr>
                    <w:t>Aynı Tebliğin 2.4.4.İ-1 numaralı alt maddesinin birinci fıkrasında yer alan “Evli olmakla birlikte evlat edinilmiş çocukları hariç çocuk sahibi olmayan” ibaresi “Evli olmakla birlikte daha önceki evliliklerinden çocuk sahibi olup olmadığına bakılmaksızın evlat edinilmiş çocukları hariç mevcut evliliğinde çocuk sahibi olmayan”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MADDE 4 – </w:t>
                  </w:r>
                  <w:r w:rsidRPr="00000665">
                    <w:rPr>
                      <w:sz w:val="18"/>
                      <w:szCs w:val="18"/>
                      <w:lang w:val="tr-TR" w:eastAsia="tr-TR"/>
                    </w:rPr>
                    <w:t>Aynı Tebliğin 2.4.4.İ-1-2 numaralı alt maddesinin altıncı fıkrası aşağıdaki şekilde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“(6) Her bir IVF tedavisi için sağlık kurulu raporu düzenlenmesi gereklidir.”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5 –</w:t>
                  </w:r>
                  <w:r w:rsidRPr="00000665">
                    <w:rPr>
                      <w:sz w:val="18"/>
                      <w:szCs w:val="18"/>
                      <w:lang w:val="tr-TR" w:eastAsia="tr-TR"/>
                    </w:rPr>
                    <w:t xml:space="preserve"> Aynı Tebliğin 3.1.3  numaralı maddesinin ikinci fıkrasında ve yedinci fıkrasında  yer alan “1/4/2015” ibareleri “1/7/2015”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6 –</w:t>
                  </w:r>
                  <w:r w:rsidRPr="00000665">
                    <w:rPr>
                      <w:sz w:val="18"/>
                      <w:szCs w:val="18"/>
                      <w:lang w:val="tr-TR" w:eastAsia="tr-TR"/>
                    </w:rPr>
                    <w:t xml:space="preserve"> Aynı Tebliğin 3.1.4 numaralı maddesinin ikinci fıkrasına aşağıdaki bent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“p) SUT eki EK-3 Tıbbi Malzeme Listelerinde ayrıca faturalandırılabileceği belirtilen tıbbi malzemelerin,”</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7 –</w:t>
                  </w:r>
                  <w:r w:rsidRPr="00000665">
                    <w:rPr>
                      <w:sz w:val="18"/>
                      <w:szCs w:val="18"/>
                      <w:lang w:val="tr-TR" w:eastAsia="tr-TR"/>
                    </w:rPr>
                    <w:t xml:space="preserve"> Aynı Tebliğin 3.2.1.A numaralı alt maddesinin ikinci fıkrasında yer alan “1/4/2015” ibaresi “1/7/2015”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8 –</w:t>
                  </w:r>
                  <w:r w:rsidRPr="00000665">
                    <w:rPr>
                      <w:sz w:val="18"/>
                      <w:szCs w:val="18"/>
                      <w:lang w:val="tr-TR" w:eastAsia="tr-TR"/>
                    </w:rPr>
                    <w:t xml:space="preserve"> Aynı Tebliğin 3.3.1 numaralı maddesinde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Maddenin ikinci fıkrasının (c)  bendi ile beşinci fıkrasının ikinci cümlesi yürürlükten kaldırılmıştır.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Maddenin </w:t>
                  </w:r>
                  <w:proofErr w:type="spellStart"/>
                  <w:r w:rsidRPr="00000665">
                    <w:rPr>
                      <w:sz w:val="18"/>
                      <w:szCs w:val="18"/>
                      <w:lang w:val="tr-TR" w:eastAsia="tr-TR"/>
                    </w:rPr>
                    <w:t>onüçüncü</w:t>
                  </w:r>
                  <w:proofErr w:type="spellEnd"/>
                  <w:r w:rsidRPr="00000665">
                    <w:rPr>
                      <w:sz w:val="18"/>
                      <w:szCs w:val="18"/>
                      <w:lang w:val="tr-TR" w:eastAsia="tr-TR"/>
                    </w:rPr>
                    <w:t xml:space="preserve"> fıkrası aşağıdaki şekilde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“(13) </w:t>
                  </w:r>
                  <w:proofErr w:type="spellStart"/>
                  <w:r w:rsidRPr="00000665">
                    <w:rPr>
                      <w:sz w:val="18"/>
                      <w:szCs w:val="18"/>
                      <w:lang w:val="tr-TR" w:eastAsia="tr-TR"/>
                    </w:rPr>
                    <w:t>Epidermolizis</w:t>
                  </w:r>
                  <w:proofErr w:type="spellEnd"/>
                  <w:r w:rsidRPr="00000665">
                    <w:rPr>
                      <w:sz w:val="18"/>
                      <w:szCs w:val="18"/>
                      <w:lang w:val="tr-TR" w:eastAsia="tr-TR"/>
                    </w:rPr>
                    <w:t xml:space="preserve"> </w:t>
                  </w:r>
                  <w:proofErr w:type="spellStart"/>
                  <w:r w:rsidRPr="00000665">
                    <w:rPr>
                      <w:sz w:val="18"/>
                      <w:szCs w:val="18"/>
                      <w:lang w:val="tr-TR" w:eastAsia="tr-TR"/>
                    </w:rPr>
                    <w:t>bülloza</w:t>
                  </w:r>
                  <w:proofErr w:type="spellEnd"/>
                  <w:r w:rsidRPr="00000665">
                    <w:rPr>
                      <w:sz w:val="18"/>
                      <w:szCs w:val="18"/>
                      <w:lang w:val="tr-TR" w:eastAsia="tr-TR"/>
                    </w:rPr>
                    <w:t xml:space="preserve"> tanılı hastalara yara bakım hizmetlerinin ödenebilmesi için Sağlık Bakanlığına bağlı ikinci veya üçüncü basamak sağlık hizmeti sunucuları tarafından, deri ve zührevi hastalıkları uzman hekimi, plastik, </w:t>
                  </w:r>
                  <w:proofErr w:type="spellStart"/>
                  <w:r w:rsidRPr="00000665">
                    <w:rPr>
                      <w:sz w:val="18"/>
                      <w:szCs w:val="18"/>
                      <w:lang w:val="tr-TR" w:eastAsia="tr-TR"/>
                    </w:rPr>
                    <w:t>rekonstrüktif</w:t>
                  </w:r>
                  <w:proofErr w:type="spellEnd"/>
                  <w:r w:rsidRPr="00000665">
                    <w:rPr>
                      <w:sz w:val="18"/>
                      <w:szCs w:val="18"/>
                      <w:lang w:val="tr-TR" w:eastAsia="tr-TR"/>
                    </w:rPr>
                    <w:t xml:space="preserve"> ve estetik cerrahi uzman hekimi ve genel cerrahi uzman hekiminin yer aldığı sağlık kurulu raporu düzenlenmesi gerekmektedir. Sağlık kurulu raporu 2 (iki) yıl geçerlidir. </w:t>
                  </w:r>
                  <w:proofErr w:type="spellStart"/>
                  <w:r w:rsidRPr="00000665">
                    <w:rPr>
                      <w:sz w:val="18"/>
                      <w:szCs w:val="18"/>
                      <w:lang w:val="tr-TR" w:eastAsia="tr-TR"/>
                    </w:rPr>
                    <w:t>Epidermolizis</w:t>
                  </w:r>
                  <w:proofErr w:type="spellEnd"/>
                  <w:r w:rsidRPr="00000665">
                    <w:rPr>
                      <w:sz w:val="18"/>
                      <w:szCs w:val="18"/>
                      <w:lang w:val="tr-TR" w:eastAsia="tr-TR"/>
                    </w:rPr>
                    <w:t xml:space="preserve"> </w:t>
                  </w:r>
                  <w:proofErr w:type="spellStart"/>
                  <w:r w:rsidRPr="00000665">
                    <w:rPr>
                      <w:sz w:val="18"/>
                      <w:szCs w:val="18"/>
                      <w:lang w:val="tr-TR" w:eastAsia="tr-TR"/>
                    </w:rPr>
                    <w:t>bülloza</w:t>
                  </w:r>
                  <w:proofErr w:type="spellEnd"/>
                  <w:r w:rsidRPr="00000665">
                    <w:rPr>
                      <w:sz w:val="18"/>
                      <w:szCs w:val="18"/>
                      <w:lang w:val="tr-TR" w:eastAsia="tr-TR"/>
                    </w:rPr>
                    <w:t xml:space="preserve"> tanılı hastaların yatarak veya ayakta tedavileri kapsamındaki yara bakım hizmetleri ile bu hizmetlerde kullanılan tıbbi malzemeleri SUT EK-2/B Listesinde yer alan “530.533” kodlu “</w:t>
                  </w:r>
                  <w:proofErr w:type="spellStart"/>
                  <w:r w:rsidRPr="00000665">
                    <w:rPr>
                      <w:sz w:val="18"/>
                      <w:szCs w:val="18"/>
                      <w:lang w:val="tr-TR" w:eastAsia="tr-TR"/>
                    </w:rPr>
                    <w:t>Epidermolizis</w:t>
                  </w:r>
                  <w:proofErr w:type="spellEnd"/>
                  <w:r w:rsidRPr="00000665">
                    <w:rPr>
                      <w:sz w:val="18"/>
                      <w:szCs w:val="18"/>
                      <w:lang w:val="tr-TR" w:eastAsia="tr-TR"/>
                    </w:rPr>
                    <w:t xml:space="preserve"> </w:t>
                  </w:r>
                  <w:proofErr w:type="spellStart"/>
                  <w:r w:rsidRPr="00000665">
                    <w:rPr>
                      <w:sz w:val="18"/>
                      <w:szCs w:val="18"/>
                      <w:lang w:val="tr-TR" w:eastAsia="tr-TR"/>
                    </w:rPr>
                    <w:t>bülloza</w:t>
                  </w:r>
                  <w:proofErr w:type="spellEnd"/>
                  <w:r w:rsidRPr="00000665">
                    <w:rPr>
                      <w:sz w:val="18"/>
                      <w:szCs w:val="18"/>
                      <w:lang w:val="tr-TR" w:eastAsia="tr-TR"/>
                    </w:rPr>
                    <w:t xml:space="preserve"> hastalığında yara bakım hizmetleri” işlemi üzerinden sadece Sağlık Bakanlığı’na bağlı sağlık hizmeti sunucularınca faturalandırılır. Bu hasta grubuna sunulan her türlü yara bakım hizmetlerinin ve bu hizmetlerde kullanılan tıbbi malzemelerin Sağlık Bakanlığına bağlı sağlık hizmeti sunucuları tarafından temin edilmesi ve uygulanması zorunludur.  Bu grup hastalara yara bakım hizmetlerinde kullanılan malzemeler için şahıs ödemesi kapsamında herhangi bir ödeme yapılmaz. Ancak bu kapsamda tedavi gören hastalara kullanılan malzemelerin Sağlık Bakanlığına bağlı sağlık hizmeti sunucuları tarafından temin edilmeyerek hastaya reçete </w:t>
                  </w:r>
                  <w:r w:rsidRPr="00000665">
                    <w:rPr>
                      <w:sz w:val="18"/>
                      <w:szCs w:val="18"/>
                      <w:lang w:val="tr-TR" w:eastAsia="tr-TR"/>
                    </w:rPr>
                    <w:lastRenderedPageBreak/>
                    <w:t>karşılığı dışarıdan temin ettirilmesi durumunda fatura tutarı ilgili hastaya ödenerek Sağlık Bakanlığına yapılan global ödemeden söz konusu fatura tutarı düşülür.”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MADDE 9 – </w:t>
                  </w:r>
                  <w:r w:rsidRPr="00000665">
                    <w:rPr>
                      <w:sz w:val="18"/>
                      <w:szCs w:val="18"/>
                      <w:lang w:val="tr-TR" w:eastAsia="tr-TR"/>
                    </w:rPr>
                    <w:t>Aynı Tebliğin 3.3.9 numaralı maddesinin birinci fıkrasına aşağıdaki bent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“ö) Total parmak protezi”</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10 –</w:t>
                  </w:r>
                  <w:r w:rsidRPr="00000665">
                    <w:rPr>
                      <w:sz w:val="18"/>
                      <w:szCs w:val="18"/>
                      <w:lang w:val="tr-TR" w:eastAsia="tr-TR"/>
                    </w:rPr>
                    <w:t xml:space="preserve"> Aynı Tebliğin 3.3.29 numaralı maddesinin ikinci fıkrasının birinci cümlesinde yer alan “Kanama durdurmada kullanılan tıbbi malzemelerin vücut dışı uygulamalarında” ibaresi  “Kanama durdurmada kullanılan emilemeyen tıbbi malzemelerin” olarak değiştirilmiş ve  üçüncü fıkrasının birinci cümlesi aşağıdaki şekilde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“Kanama durdurmada kullanılan emilebilen  tıbbi malzemelerin yatarak tedavilerde, epikrizde aşağıdaki durumlardan en az birinin ve kullanılan tıbbi malzeme sayısının belirtilmesi şartıyla bedelleri Kurumca karşılanır.”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11 –</w:t>
                  </w:r>
                  <w:r w:rsidRPr="00000665">
                    <w:rPr>
                      <w:sz w:val="18"/>
                      <w:szCs w:val="18"/>
                      <w:lang w:val="tr-TR" w:eastAsia="tr-TR"/>
                    </w:rPr>
                    <w:t xml:space="preserve"> Aynı Tebliğin 4.2.1.C-1 numaralı maddesinin ikinci fıkrasının birinci cümlesinde yer alan “</w:t>
                  </w:r>
                  <w:proofErr w:type="spellStart"/>
                  <w:r w:rsidRPr="00000665">
                    <w:rPr>
                      <w:sz w:val="18"/>
                      <w:szCs w:val="18"/>
                      <w:lang w:val="tr-TR" w:eastAsia="tr-TR"/>
                    </w:rPr>
                    <w:t>Aksiyel</w:t>
                  </w:r>
                  <w:proofErr w:type="spellEnd"/>
                  <w:r w:rsidRPr="00000665">
                    <w:rPr>
                      <w:sz w:val="18"/>
                      <w:szCs w:val="18"/>
                      <w:lang w:val="tr-TR" w:eastAsia="tr-TR"/>
                    </w:rPr>
                    <w:t xml:space="preserve"> tutulumlu </w:t>
                  </w:r>
                  <w:proofErr w:type="spellStart"/>
                  <w:r w:rsidRPr="00000665">
                    <w:rPr>
                      <w:sz w:val="18"/>
                      <w:szCs w:val="18"/>
                      <w:lang w:val="tr-TR" w:eastAsia="tr-TR"/>
                    </w:rPr>
                    <w:t>ankilozan</w:t>
                  </w:r>
                  <w:proofErr w:type="spellEnd"/>
                  <w:r w:rsidRPr="00000665">
                    <w:rPr>
                      <w:sz w:val="18"/>
                      <w:szCs w:val="18"/>
                      <w:lang w:val="tr-TR" w:eastAsia="tr-TR"/>
                    </w:rPr>
                    <w:t xml:space="preserve"> </w:t>
                  </w:r>
                  <w:proofErr w:type="spellStart"/>
                  <w:r w:rsidRPr="00000665">
                    <w:rPr>
                      <w:sz w:val="18"/>
                      <w:szCs w:val="18"/>
                      <w:lang w:val="tr-TR" w:eastAsia="tr-TR"/>
                    </w:rPr>
                    <w:t>spondilitli</w:t>
                  </w:r>
                  <w:proofErr w:type="spellEnd"/>
                  <w:r w:rsidRPr="00000665">
                    <w:rPr>
                      <w:sz w:val="18"/>
                      <w:szCs w:val="18"/>
                      <w:lang w:val="tr-TR" w:eastAsia="tr-TR"/>
                    </w:rPr>
                    <w:t xml:space="preserve">” ibaresinden sonra gelmek üzere “ve radyografik olarak </w:t>
                  </w:r>
                  <w:proofErr w:type="spellStart"/>
                  <w:r w:rsidRPr="00000665">
                    <w:rPr>
                      <w:sz w:val="18"/>
                      <w:szCs w:val="18"/>
                      <w:lang w:val="tr-TR" w:eastAsia="tr-TR"/>
                    </w:rPr>
                    <w:t>ankilozan</w:t>
                  </w:r>
                  <w:proofErr w:type="spellEnd"/>
                  <w:r w:rsidRPr="00000665">
                    <w:rPr>
                      <w:sz w:val="18"/>
                      <w:szCs w:val="18"/>
                      <w:lang w:val="tr-TR" w:eastAsia="tr-TR"/>
                    </w:rPr>
                    <w:t xml:space="preserve"> </w:t>
                  </w:r>
                  <w:proofErr w:type="spellStart"/>
                  <w:r w:rsidRPr="00000665">
                    <w:rPr>
                      <w:sz w:val="18"/>
                      <w:szCs w:val="18"/>
                      <w:lang w:val="tr-TR" w:eastAsia="tr-TR"/>
                    </w:rPr>
                    <w:t>spondilit</w:t>
                  </w:r>
                  <w:proofErr w:type="spellEnd"/>
                  <w:r w:rsidRPr="00000665">
                    <w:rPr>
                      <w:sz w:val="18"/>
                      <w:szCs w:val="18"/>
                      <w:lang w:val="tr-TR" w:eastAsia="tr-TR"/>
                    </w:rPr>
                    <w:t xml:space="preserve"> (AS) kanıtı olmayan </w:t>
                  </w:r>
                  <w:proofErr w:type="spellStart"/>
                  <w:r w:rsidRPr="00000665">
                    <w:rPr>
                      <w:sz w:val="18"/>
                      <w:szCs w:val="18"/>
                      <w:lang w:val="tr-TR" w:eastAsia="tr-TR"/>
                    </w:rPr>
                    <w:t>aksiyel</w:t>
                  </w:r>
                  <w:proofErr w:type="spellEnd"/>
                  <w:r w:rsidRPr="00000665">
                    <w:rPr>
                      <w:sz w:val="18"/>
                      <w:szCs w:val="18"/>
                      <w:lang w:val="tr-TR" w:eastAsia="tr-TR"/>
                    </w:rPr>
                    <w:t xml:space="preserve"> </w:t>
                  </w:r>
                  <w:proofErr w:type="spellStart"/>
                  <w:r w:rsidRPr="00000665">
                    <w:rPr>
                      <w:sz w:val="18"/>
                      <w:szCs w:val="18"/>
                      <w:lang w:val="tr-TR" w:eastAsia="tr-TR"/>
                    </w:rPr>
                    <w:t>spondilartritli</w:t>
                  </w:r>
                  <w:proofErr w:type="spellEnd"/>
                  <w:r w:rsidRPr="00000665">
                    <w:rPr>
                      <w:sz w:val="18"/>
                      <w:szCs w:val="18"/>
                      <w:lang w:val="tr-TR" w:eastAsia="tr-TR"/>
                    </w:rPr>
                    <w:t>” ibaresi eklenmiş ve dördüncü fıkrası aşağıdaki şekilde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“(4) </w:t>
                  </w:r>
                  <w:proofErr w:type="spellStart"/>
                  <w:r w:rsidRPr="00000665">
                    <w:rPr>
                      <w:sz w:val="18"/>
                      <w:szCs w:val="18"/>
                      <w:lang w:val="tr-TR" w:eastAsia="tr-TR"/>
                    </w:rPr>
                    <w:t>Aksiyel</w:t>
                  </w:r>
                  <w:proofErr w:type="spellEnd"/>
                  <w:r w:rsidRPr="00000665">
                    <w:rPr>
                      <w:sz w:val="18"/>
                      <w:szCs w:val="18"/>
                      <w:lang w:val="tr-TR" w:eastAsia="tr-TR"/>
                    </w:rPr>
                    <w:t xml:space="preserve"> tutulumlu </w:t>
                  </w:r>
                  <w:proofErr w:type="spellStart"/>
                  <w:r w:rsidRPr="00000665">
                    <w:rPr>
                      <w:sz w:val="18"/>
                      <w:szCs w:val="18"/>
                      <w:lang w:val="tr-TR" w:eastAsia="tr-TR"/>
                    </w:rPr>
                    <w:t>ankilozan</w:t>
                  </w:r>
                  <w:proofErr w:type="spellEnd"/>
                  <w:r w:rsidRPr="00000665">
                    <w:rPr>
                      <w:sz w:val="18"/>
                      <w:szCs w:val="18"/>
                      <w:lang w:val="tr-TR" w:eastAsia="tr-TR"/>
                    </w:rPr>
                    <w:t xml:space="preserve"> </w:t>
                  </w:r>
                  <w:proofErr w:type="spellStart"/>
                  <w:r w:rsidRPr="00000665">
                    <w:rPr>
                      <w:sz w:val="18"/>
                      <w:szCs w:val="18"/>
                      <w:lang w:val="tr-TR" w:eastAsia="tr-TR"/>
                    </w:rPr>
                    <w:t>spondilitli</w:t>
                  </w:r>
                  <w:proofErr w:type="spellEnd"/>
                  <w:r w:rsidRPr="00000665">
                    <w:rPr>
                      <w:sz w:val="18"/>
                      <w:szCs w:val="18"/>
                      <w:lang w:val="tr-TR" w:eastAsia="tr-TR"/>
                    </w:rPr>
                    <w:t xml:space="preserve">, </w:t>
                  </w:r>
                  <w:proofErr w:type="spellStart"/>
                  <w:r w:rsidRPr="00000665">
                    <w:rPr>
                      <w:sz w:val="18"/>
                      <w:szCs w:val="18"/>
                      <w:lang w:val="tr-TR" w:eastAsia="tr-TR"/>
                    </w:rPr>
                    <w:t>periferik</w:t>
                  </w:r>
                  <w:proofErr w:type="spellEnd"/>
                  <w:r w:rsidRPr="00000665">
                    <w:rPr>
                      <w:sz w:val="18"/>
                      <w:szCs w:val="18"/>
                      <w:lang w:val="tr-TR" w:eastAsia="tr-TR"/>
                    </w:rPr>
                    <w:t xml:space="preserve"> eklem tutulumlu </w:t>
                  </w:r>
                  <w:proofErr w:type="spellStart"/>
                  <w:r w:rsidRPr="00000665">
                    <w:rPr>
                      <w:sz w:val="18"/>
                      <w:szCs w:val="18"/>
                      <w:lang w:val="tr-TR" w:eastAsia="tr-TR"/>
                    </w:rPr>
                    <w:t>ankilozan</w:t>
                  </w:r>
                  <w:proofErr w:type="spellEnd"/>
                  <w:r w:rsidRPr="00000665">
                    <w:rPr>
                      <w:sz w:val="18"/>
                      <w:szCs w:val="18"/>
                      <w:lang w:val="tr-TR" w:eastAsia="tr-TR"/>
                    </w:rPr>
                    <w:t xml:space="preserve"> </w:t>
                  </w:r>
                  <w:proofErr w:type="spellStart"/>
                  <w:r w:rsidRPr="00000665">
                    <w:rPr>
                      <w:sz w:val="18"/>
                      <w:szCs w:val="18"/>
                      <w:lang w:val="tr-TR" w:eastAsia="tr-TR"/>
                    </w:rPr>
                    <w:t>spondilitli</w:t>
                  </w:r>
                  <w:proofErr w:type="spellEnd"/>
                  <w:r w:rsidRPr="00000665">
                    <w:rPr>
                      <w:sz w:val="18"/>
                      <w:szCs w:val="18"/>
                      <w:lang w:val="tr-TR" w:eastAsia="tr-TR"/>
                    </w:rPr>
                    <w:t xml:space="preserve"> ve radyografik olarak </w:t>
                  </w:r>
                  <w:proofErr w:type="spellStart"/>
                  <w:r w:rsidRPr="00000665">
                    <w:rPr>
                      <w:sz w:val="18"/>
                      <w:szCs w:val="18"/>
                      <w:lang w:val="tr-TR" w:eastAsia="tr-TR"/>
                    </w:rPr>
                    <w:t>ankilozan</w:t>
                  </w:r>
                  <w:proofErr w:type="spellEnd"/>
                  <w:r w:rsidRPr="00000665">
                    <w:rPr>
                      <w:sz w:val="18"/>
                      <w:szCs w:val="18"/>
                      <w:lang w:val="tr-TR" w:eastAsia="tr-TR"/>
                    </w:rPr>
                    <w:t xml:space="preserve"> </w:t>
                  </w:r>
                  <w:proofErr w:type="spellStart"/>
                  <w:r w:rsidRPr="00000665">
                    <w:rPr>
                      <w:sz w:val="18"/>
                      <w:szCs w:val="18"/>
                      <w:lang w:val="tr-TR" w:eastAsia="tr-TR"/>
                    </w:rPr>
                    <w:t>spondilit</w:t>
                  </w:r>
                  <w:proofErr w:type="spellEnd"/>
                  <w:r w:rsidRPr="00000665">
                    <w:rPr>
                      <w:sz w:val="18"/>
                      <w:szCs w:val="18"/>
                      <w:lang w:val="tr-TR" w:eastAsia="tr-TR"/>
                    </w:rPr>
                    <w:t xml:space="preserve"> (AS) kanıtı olmayan </w:t>
                  </w:r>
                  <w:proofErr w:type="spellStart"/>
                  <w:r w:rsidRPr="00000665">
                    <w:rPr>
                      <w:sz w:val="18"/>
                      <w:szCs w:val="18"/>
                      <w:lang w:val="tr-TR" w:eastAsia="tr-TR"/>
                    </w:rPr>
                    <w:t>aksiyel</w:t>
                  </w:r>
                  <w:proofErr w:type="spellEnd"/>
                  <w:r w:rsidRPr="00000665">
                    <w:rPr>
                      <w:sz w:val="18"/>
                      <w:szCs w:val="18"/>
                      <w:lang w:val="tr-TR" w:eastAsia="tr-TR"/>
                    </w:rPr>
                    <w:t xml:space="preserve"> </w:t>
                  </w:r>
                  <w:proofErr w:type="spellStart"/>
                  <w:r w:rsidRPr="00000665">
                    <w:rPr>
                      <w:sz w:val="18"/>
                      <w:szCs w:val="18"/>
                      <w:lang w:val="tr-TR" w:eastAsia="tr-TR"/>
                    </w:rPr>
                    <w:t>spondilartritli</w:t>
                  </w:r>
                  <w:proofErr w:type="spellEnd"/>
                  <w:r w:rsidRPr="00000665">
                    <w:rPr>
                      <w:sz w:val="18"/>
                      <w:szCs w:val="18"/>
                      <w:lang w:val="tr-TR" w:eastAsia="tr-TR"/>
                    </w:rPr>
                    <w:t xml:space="preserve"> hastalarda ilacın etkinliği, ilaca başlandıktan 3 ay sonra değerlendirilir. Yeterli cevap alınamamışsa (</w:t>
                  </w:r>
                  <w:proofErr w:type="spellStart"/>
                  <w:r w:rsidRPr="00000665">
                    <w:rPr>
                      <w:sz w:val="18"/>
                      <w:szCs w:val="18"/>
                      <w:lang w:val="tr-TR" w:eastAsia="tr-TR"/>
                    </w:rPr>
                    <w:t>BASDAİ’de</w:t>
                  </w:r>
                  <w:proofErr w:type="spellEnd"/>
                  <w:r w:rsidRPr="00000665">
                    <w:rPr>
                      <w:sz w:val="18"/>
                      <w:szCs w:val="18"/>
                      <w:lang w:val="tr-TR" w:eastAsia="tr-TR"/>
                    </w:rPr>
                    <w:t xml:space="preserve"> 2 birimden daha az düzelme olması), ilaca devam edilmesi durumunda ilaç bedeli ödenmez. Tedaviye cevap alınmış ve ilaca devam edilecek ise bu durum 6 ay süreli yeni düzenlenecek sağlık kurulu raporunda belirtilir.”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12 –</w:t>
                  </w:r>
                  <w:r w:rsidRPr="00000665">
                    <w:rPr>
                      <w:sz w:val="18"/>
                      <w:szCs w:val="18"/>
                      <w:lang w:val="tr-TR" w:eastAsia="tr-TR"/>
                    </w:rPr>
                    <w:t xml:space="preserve"> Aynı Tebliğin 4.2.14.C numaralı maddesinin üçüncü fıkrasında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(a) bendi aşağıdaki şekilde değiştirilmiştir.</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“a) </w:t>
                  </w:r>
                  <w:proofErr w:type="spellStart"/>
                  <w:r w:rsidRPr="00000665">
                    <w:rPr>
                      <w:b/>
                      <w:sz w:val="18"/>
                      <w:szCs w:val="18"/>
                      <w:lang w:val="tr-TR" w:eastAsia="tr-TR"/>
                    </w:rPr>
                    <w:t>Trastuzumab</w:t>
                  </w:r>
                  <w:proofErr w:type="spellEnd"/>
                  <w:r w:rsidRPr="00000665">
                    <w:rPr>
                      <w:b/>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HER-2 </w:t>
                  </w:r>
                  <w:proofErr w:type="spellStart"/>
                  <w:r w:rsidRPr="00000665">
                    <w:rPr>
                      <w:sz w:val="18"/>
                      <w:szCs w:val="18"/>
                      <w:lang w:val="tr-TR" w:eastAsia="tr-TR"/>
                    </w:rPr>
                    <w:t>immünhistokimya</w:t>
                  </w:r>
                  <w:proofErr w:type="spellEnd"/>
                  <w:r w:rsidRPr="00000665">
                    <w:rPr>
                      <w:sz w:val="18"/>
                      <w:szCs w:val="18"/>
                      <w:lang w:val="tr-TR" w:eastAsia="tr-TR"/>
                    </w:rPr>
                    <w:t xml:space="preserve"> ile +3 veya FISH/CISH/SISH (+) olan hastalarda,  </w:t>
                  </w:r>
                  <w:proofErr w:type="spellStart"/>
                  <w:r w:rsidRPr="00000665">
                    <w:rPr>
                      <w:sz w:val="18"/>
                      <w:szCs w:val="18"/>
                      <w:lang w:val="tr-TR" w:eastAsia="tr-TR"/>
                    </w:rPr>
                    <w:t>metastatik</w:t>
                  </w:r>
                  <w:proofErr w:type="spellEnd"/>
                  <w:r w:rsidRPr="00000665">
                    <w:rPr>
                      <w:sz w:val="18"/>
                      <w:szCs w:val="18"/>
                      <w:lang w:val="tr-TR" w:eastAsia="tr-TR"/>
                    </w:rPr>
                    <w:t xml:space="preserve"> meme kanseri </w:t>
                  </w:r>
                  <w:proofErr w:type="spellStart"/>
                  <w:r w:rsidRPr="00000665">
                    <w:rPr>
                      <w:sz w:val="18"/>
                      <w:szCs w:val="18"/>
                      <w:lang w:val="tr-TR" w:eastAsia="tr-TR"/>
                    </w:rPr>
                    <w:t>endikasyonunda</w:t>
                  </w:r>
                  <w:proofErr w:type="spellEnd"/>
                  <w:r w:rsidRPr="00000665">
                    <w:rPr>
                      <w:sz w:val="18"/>
                      <w:szCs w:val="18"/>
                      <w:lang w:val="tr-TR" w:eastAsia="tr-TR"/>
                    </w:rPr>
                    <w:t xml:space="preserve">, bu durumun belirtildiği tıbbi onkoloji uzman hekiminin yer aldığı sağlık kurulu raporuna dayanılarak tıbbi onkoloji uzman hekimlerince reçete edilir. </w:t>
                  </w:r>
                  <w:proofErr w:type="spellStart"/>
                  <w:r w:rsidRPr="00000665">
                    <w:rPr>
                      <w:sz w:val="18"/>
                      <w:szCs w:val="18"/>
                      <w:lang w:val="tr-TR" w:eastAsia="tr-TR"/>
                    </w:rPr>
                    <w:t>Trastuzumab</w:t>
                  </w:r>
                  <w:proofErr w:type="spellEnd"/>
                  <w:r w:rsidRPr="00000665">
                    <w:rPr>
                      <w:sz w:val="18"/>
                      <w:szCs w:val="18"/>
                      <w:lang w:val="tr-TR" w:eastAsia="tr-TR"/>
                    </w:rPr>
                    <w:t xml:space="preserve"> kullanılırken </w:t>
                  </w:r>
                  <w:proofErr w:type="spellStart"/>
                  <w:r w:rsidRPr="00000665">
                    <w:rPr>
                      <w:sz w:val="18"/>
                      <w:szCs w:val="18"/>
                      <w:lang w:val="tr-TR" w:eastAsia="tr-TR"/>
                    </w:rPr>
                    <w:t>progresyon</w:t>
                  </w:r>
                  <w:proofErr w:type="spellEnd"/>
                  <w:r w:rsidRPr="00000665">
                    <w:rPr>
                      <w:sz w:val="18"/>
                      <w:szCs w:val="18"/>
                      <w:lang w:val="tr-TR" w:eastAsia="tr-TR"/>
                    </w:rPr>
                    <w:t xml:space="preserve"> gelişmesi halinde tedavi sonlandırılır.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HER-2 </w:t>
                  </w:r>
                  <w:proofErr w:type="spellStart"/>
                  <w:r w:rsidRPr="00000665">
                    <w:rPr>
                      <w:sz w:val="18"/>
                      <w:szCs w:val="18"/>
                      <w:lang w:val="tr-TR" w:eastAsia="tr-TR"/>
                    </w:rPr>
                    <w:t>immünhistokimya</w:t>
                  </w:r>
                  <w:proofErr w:type="spellEnd"/>
                  <w:r w:rsidRPr="00000665">
                    <w:rPr>
                      <w:sz w:val="18"/>
                      <w:szCs w:val="18"/>
                      <w:lang w:val="tr-TR" w:eastAsia="tr-TR"/>
                    </w:rPr>
                    <w:t xml:space="preserve"> ile +3 veya FISH/CISH/SISH (+) olan hastalarda,   erken evre meme kanseri </w:t>
                  </w:r>
                  <w:proofErr w:type="spellStart"/>
                  <w:r w:rsidRPr="00000665">
                    <w:rPr>
                      <w:sz w:val="18"/>
                      <w:szCs w:val="18"/>
                      <w:lang w:val="tr-TR" w:eastAsia="tr-TR"/>
                    </w:rPr>
                    <w:t>endikasyonunda</w:t>
                  </w:r>
                  <w:proofErr w:type="spellEnd"/>
                  <w:r w:rsidRPr="00000665">
                    <w:rPr>
                      <w:sz w:val="18"/>
                      <w:szCs w:val="18"/>
                      <w:lang w:val="tr-TR" w:eastAsia="tr-TR"/>
                    </w:rPr>
                    <w:t>, tedavi süresi 9 haftadır. Tedavinin 52 haftaya tamamlanması düşünülen durumlarda, 9 haftalık tedaviden sonra “</w:t>
                  </w:r>
                  <w:proofErr w:type="spellStart"/>
                  <w:r w:rsidRPr="00000665">
                    <w:rPr>
                      <w:sz w:val="18"/>
                      <w:szCs w:val="18"/>
                      <w:lang w:val="tr-TR" w:eastAsia="tr-TR"/>
                    </w:rPr>
                    <w:t>Trastuzumab</w:t>
                  </w:r>
                  <w:proofErr w:type="spellEnd"/>
                  <w:r w:rsidRPr="00000665">
                    <w:rPr>
                      <w:sz w:val="18"/>
                      <w:szCs w:val="18"/>
                      <w:lang w:val="tr-TR" w:eastAsia="tr-TR"/>
                    </w:rPr>
                    <w:t xml:space="preserve"> Kullanımı İçin Bilgilendirilmiş Hasta Olur Formu”nun tedaviyi yürüten hekim tarafından düzenlenerek bir örneğinin Sağlık Bakanlığına gönderilmesi ve reçete üzerinde formun düzenlendiğinin belirtilmesi gerekmektedir. En az bir tıbbi onkoloji uzman hekiminin bulunduğu ve ekokardiyografi değerlendirmesinin de yer aldığı 3 ay süreli sağlık kurulu raporu ile bu hekimlerce reçete edilir. Toplam tedavi süresi 52 haftayı geçemez.</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3) </w:t>
                  </w:r>
                  <w:proofErr w:type="spellStart"/>
                  <w:r w:rsidRPr="00000665">
                    <w:rPr>
                      <w:sz w:val="18"/>
                      <w:szCs w:val="18"/>
                      <w:lang w:val="tr-TR" w:eastAsia="tr-TR"/>
                    </w:rPr>
                    <w:t>Metastatik</w:t>
                  </w:r>
                  <w:proofErr w:type="spellEnd"/>
                  <w:r w:rsidRPr="00000665">
                    <w:rPr>
                      <w:sz w:val="18"/>
                      <w:szCs w:val="18"/>
                      <w:lang w:val="tr-TR" w:eastAsia="tr-TR"/>
                    </w:rPr>
                    <w:t xml:space="preserve"> mide veya </w:t>
                  </w:r>
                  <w:proofErr w:type="spellStart"/>
                  <w:r w:rsidRPr="00000665">
                    <w:rPr>
                      <w:sz w:val="18"/>
                      <w:szCs w:val="18"/>
                      <w:lang w:val="tr-TR" w:eastAsia="tr-TR"/>
                    </w:rPr>
                    <w:t>özofagogastrik</w:t>
                  </w:r>
                  <w:proofErr w:type="spellEnd"/>
                  <w:r w:rsidRPr="00000665">
                    <w:rPr>
                      <w:sz w:val="18"/>
                      <w:szCs w:val="18"/>
                      <w:lang w:val="tr-TR" w:eastAsia="tr-TR"/>
                    </w:rPr>
                    <w:t xml:space="preserve"> bileşke yerleşimli </w:t>
                  </w:r>
                  <w:proofErr w:type="spellStart"/>
                  <w:r w:rsidRPr="00000665">
                    <w:rPr>
                      <w:sz w:val="18"/>
                      <w:szCs w:val="18"/>
                      <w:lang w:val="tr-TR" w:eastAsia="tr-TR"/>
                    </w:rPr>
                    <w:t>adenokanserli</w:t>
                  </w:r>
                  <w:proofErr w:type="spellEnd"/>
                  <w:r w:rsidRPr="00000665">
                    <w:rPr>
                      <w:sz w:val="18"/>
                      <w:szCs w:val="18"/>
                      <w:lang w:val="tr-TR" w:eastAsia="tr-TR"/>
                    </w:rPr>
                    <w:t xml:space="preserve"> hastalardan daha önce kemoterapi uygulanmamış olup, Her-2 </w:t>
                  </w:r>
                  <w:proofErr w:type="spellStart"/>
                  <w:r w:rsidRPr="00000665">
                    <w:rPr>
                      <w:sz w:val="18"/>
                      <w:szCs w:val="18"/>
                      <w:lang w:val="tr-TR" w:eastAsia="tr-TR"/>
                    </w:rPr>
                    <w:t>neu</w:t>
                  </w:r>
                  <w:proofErr w:type="spellEnd"/>
                  <w:r w:rsidRPr="00000665">
                    <w:rPr>
                      <w:sz w:val="18"/>
                      <w:szCs w:val="18"/>
                      <w:lang w:val="tr-TR" w:eastAsia="tr-TR"/>
                    </w:rPr>
                    <w:t xml:space="preserve"> pozitifliği, hem </w:t>
                  </w:r>
                  <w:proofErr w:type="spellStart"/>
                  <w:r w:rsidRPr="00000665">
                    <w:rPr>
                      <w:sz w:val="18"/>
                      <w:szCs w:val="18"/>
                      <w:lang w:val="tr-TR" w:eastAsia="tr-TR"/>
                    </w:rPr>
                    <w:t>immunhistokimyasal</w:t>
                  </w:r>
                  <w:proofErr w:type="spellEnd"/>
                  <w:r w:rsidRPr="00000665">
                    <w:rPr>
                      <w:sz w:val="18"/>
                      <w:szCs w:val="18"/>
                      <w:lang w:val="tr-TR" w:eastAsia="tr-TR"/>
                    </w:rPr>
                    <w:t xml:space="preserve"> yöntemle +2/+3 hem de FISH/CISH/SISH ile pozitif olarak saptananlarda; platin ve </w:t>
                  </w:r>
                  <w:proofErr w:type="spellStart"/>
                  <w:r w:rsidRPr="00000665">
                    <w:rPr>
                      <w:sz w:val="18"/>
                      <w:szCs w:val="18"/>
                      <w:lang w:val="tr-TR" w:eastAsia="tr-TR"/>
                    </w:rPr>
                    <w:t>kapesitabin</w:t>
                  </w:r>
                  <w:proofErr w:type="spellEnd"/>
                  <w:r w:rsidRPr="00000665">
                    <w:rPr>
                      <w:sz w:val="18"/>
                      <w:szCs w:val="18"/>
                      <w:lang w:val="tr-TR" w:eastAsia="tr-TR"/>
                    </w:rPr>
                    <w:t xml:space="preserve"> ya da platin ve 5-</w:t>
                  </w:r>
                  <w:proofErr w:type="spellStart"/>
                  <w:r w:rsidRPr="00000665">
                    <w:rPr>
                      <w:sz w:val="18"/>
                      <w:szCs w:val="18"/>
                      <w:lang w:val="tr-TR" w:eastAsia="tr-TR"/>
                    </w:rPr>
                    <w:t>Fluorourasil</w:t>
                  </w:r>
                  <w:proofErr w:type="spellEnd"/>
                  <w:r w:rsidRPr="00000665">
                    <w:rPr>
                      <w:sz w:val="18"/>
                      <w:szCs w:val="18"/>
                      <w:lang w:val="tr-TR" w:eastAsia="tr-TR"/>
                    </w:rPr>
                    <w:t xml:space="preserve"> içeren kemoterapi rejimleri ile kombine olarak kullanılabilir. </w:t>
                  </w:r>
                  <w:proofErr w:type="spellStart"/>
                  <w:r w:rsidRPr="00000665">
                    <w:rPr>
                      <w:sz w:val="18"/>
                      <w:szCs w:val="18"/>
                      <w:lang w:val="tr-TR" w:eastAsia="tr-TR"/>
                    </w:rPr>
                    <w:t>Progresyon</w:t>
                  </w:r>
                  <w:proofErr w:type="spellEnd"/>
                  <w:r w:rsidRPr="00000665">
                    <w:rPr>
                      <w:sz w:val="18"/>
                      <w:szCs w:val="18"/>
                      <w:lang w:val="tr-TR" w:eastAsia="tr-TR"/>
                    </w:rPr>
                    <w:t xml:space="preserve"> gelişmesi halinde tedavi sonlandırılır. Tıbbi onkoloji uzman hekiminin yer aldığı sağlık kurulu raporu ile tıbbi onkoloji uzman hekimlerince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(ç) bendinin ikinci alt bendi aşağıdaki şekilde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Doğal veya yapay </w:t>
                  </w:r>
                  <w:proofErr w:type="spellStart"/>
                  <w:r w:rsidRPr="00000665">
                    <w:rPr>
                      <w:sz w:val="18"/>
                      <w:szCs w:val="18"/>
                      <w:lang w:val="tr-TR" w:eastAsia="tr-TR"/>
                    </w:rPr>
                    <w:t>postmenapozal</w:t>
                  </w:r>
                  <w:proofErr w:type="spellEnd"/>
                  <w:r w:rsidRPr="00000665">
                    <w:rPr>
                      <w:sz w:val="18"/>
                      <w:szCs w:val="18"/>
                      <w:lang w:val="tr-TR" w:eastAsia="tr-TR"/>
                    </w:rPr>
                    <w:t xml:space="preserve"> kadınlarda, lokal veya metastaz yapmış hormon reseptör pozitif meme kanserinde, endokrin tedaviden [</w:t>
                  </w:r>
                  <w:proofErr w:type="spellStart"/>
                  <w:r w:rsidRPr="00000665">
                    <w:rPr>
                      <w:sz w:val="18"/>
                      <w:szCs w:val="18"/>
                      <w:lang w:val="tr-TR" w:eastAsia="tr-TR"/>
                    </w:rPr>
                    <w:t>tamoksifen</w:t>
                  </w:r>
                  <w:proofErr w:type="spellEnd"/>
                  <w:r w:rsidRPr="00000665">
                    <w:rPr>
                      <w:sz w:val="18"/>
                      <w:szCs w:val="18"/>
                      <w:lang w:val="tr-TR" w:eastAsia="tr-TR"/>
                    </w:rPr>
                    <w:t xml:space="preserve"> veya </w:t>
                  </w:r>
                  <w:proofErr w:type="spellStart"/>
                  <w:r w:rsidRPr="00000665">
                    <w:rPr>
                      <w:sz w:val="18"/>
                      <w:szCs w:val="18"/>
                      <w:lang w:val="tr-TR" w:eastAsia="tr-TR"/>
                    </w:rPr>
                    <w:t>aromataz</w:t>
                  </w:r>
                  <w:proofErr w:type="spellEnd"/>
                  <w:r w:rsidRPr="00000665">
                    <w:rPr>
                      <w:sz w:val="18"/>
                      <w:szCs w:val="18"/>
                      <w:lang w:val="tr-TR" w:eastAsia="tr-TR"/>
                    </w:rPr>
                    <w:t xml:space="preserve"> inhibitörlerinden biri (</w:t>
                  </w:r>
                  <w:proofErr w:type="spellStart"/>
                  <w:r w:rsidRPr="00000665">
                    <w:rPr>
                      <w:sz w:val="18"/>
                      <w:szCs w:val="18"/>
                      <w:lang w:val="tr-TR" w:eastAsia="tr-TR"/>
                    </w:rPr>
                    <w:t>anastrazole</w:t>
                  </w:r>
                  <w:proofErr w:type="spellEnd"/>
                  <w:r w:rsidRPr="00000665">
                    <w:rPr>
                      <w:sz w:val="18"/>
                      <w:szCs w:val="18"/>
                      <w:lang w:val="tr-TR" w:eastAsia="tr-TR"/>
                    </w:rPr>
                    <w:t xml:space="preserve">, </w:t>
                  </w:r>
                  <w:proofErr w:type="spellStart"/>
                  <w:r w:rsidRPr="00000665">
                    <w:rPr>
                      <w:sz w:val="18"/>
                      <w:szCs w:val="18"/>
                      <w:lang w:val="tr-TR" w:eastAsia="tr-TR"/>
                    </w:rPr>
                    <w:t>exemastane</w:t>
                  </w:r>
                  <w:proofErr w:type="spellEnd"/>
                  <w:r w:rsidRPr="00000665">
                    <w:rPr>
                      <w:sz w:val="18"/>
                      <w:szCs w:val="18"/>
                      <w:lang w:val="tr-TR" w:eastAsia="tr-TR"/>
                    </w:rPr>
                    <w:t xml:space="preserve">, </w:t>
                  </w:r>
                  <w:proofErr w:type="spellStart"/>
                  <w:r w:rsidRPr="00000665">
                    <w:rPr>
                      <w:sz w:val="18"/>
                      <w:szCs w:val="18"/>
                      <w:lang w:val="tr-TR" w:eastAsia="tr-TR"/>
                    </w:rPr>
                    <w:t>letrozole</w:t>
                  </w:r>
                  <w:proofErr w:type="spellEnd"/>
                  <w:r w:rsidRPr="00000665">
                    <w:rPr>
                      <w:sz w:val="18"/>
                      <w:szCs w:val="18"/>
                      <w:lang w:val="tr-TR" w:eastAsia="tr-TR"/>
                    </w:rPr>
                    <w:t>)] sonra ilerlemeye devam etmiş hastalarda, raporda bunların belirtilmesi koşuluyla reçete edilebilir.”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lastRenderedPageBreak/>
                    <w:t>c) (ı) bendi aşağıdaki şekilde değiştirilmiştir.</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“ı) </w:t>
                  </w:r>
                  <w:proofErr w:type="spellStart"/>
                  <w:r w:rsidRPr="00000665">
                    <w:rPr>
                      <w:b/>
                      <w:sz w:val="18"/>
                      <w:szCs w:val="18"/>
                      <w:lang w:val="tr-TR" w:eastAsia="tr-TR"/>
                    </w:rPr>
                    <w:t>Dasatinib</w:t>
                  </w:r>
                  <w:proofErr w:type="spellEnd"/>
                  <w:r w:rsidRPr="00000665">
                    <w:rPr>
                      <w:b/>
                      <w:sz w:val="18"/>
                      <w:szCs w:val="18"/>
                      <w:lang w:val="tr-TR" w:eastAsia="tr-TR"/>
                    </w:rPr>
                    <w:t xml:space="preserve"> ve </w:t>
                  </w:r>
                  <w:proofErr w:type="spellStart"/>
                  <w:r w:rsidRPr="00000665">
                    <w:rPr>
                      <w:b/>
                      <w:sz w:val="18"/>
                      <w:szCs w:val="18"/>
                      <w:lang w:val="tr-TR" w:eastAsia="tr-TR"/>
                    </w:rPr>
                    <w:t>nilotinib</w:t>
                  </w:r>
                  <w:proofErr w:type="spellEnd"/>
                  <w:r w:rsidRPr="00000665">
                    <w:rPr>
                      <w:b/>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Kronik </w:t>
                  </w:r>
                  <w:proofErr w:type="spellStart"/>
                  <w:r w:rsidRPr="00000665">
                    <w:rPr>
                      <w:sz w:val="18"/>
                      <w:szCs w:val="18"/>
                      <w:lang w:val="tr-TR" w:eastAsia="tr-TR"/>
                    </w:rPr>
                    <w:t>miyeloid</w:t>
                  </w:r>
                  <w:proofErr w:type="spellEnd"/>
                  <w:r w:rsidRPr="00000665">
                    <w:rPr>
                      <w:sz w:val="18"/>
                      <w:szCs w:val="18"/>
                      <w:lang w:val="tr-TR" w:eastAsia="tr-TR"/>
                    </w:rPr>
                    <w:t xml:space="preserve"> lösemi tanılı yetişkin hastaların tedavisinde;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w:t>
                  </w:r>
                  <w:proofErr w:type="spellStart"/>
                  <w:r w:rsidRPr="00000665">
                    <w:rPr>
                      <w:sz w:val="18"/>
                      <w:szCs w:val="18"/>
                      <w:lang w:val="tr-TR" w:eastAsia="tr-TR"/>
                    </w:rPr>
                    <w:t>Dasatinib</w:t>
                  </w:r>
                  <w:proofErr w:type="spellEnd"/>
                  <w:r w:rsidRPr="00000665">
                    <w:rPr>
                      <w:sz w:val="18"/>
                      <w:szCs w:val="18"/>
                      <w:lang w:val="tr-TR" w:eastAsia="tr-TR"/>
                    </w:rPr>
                    <w:t xml:space="preserve">; </w:t>
                  </w:r>
                  <w:proofErr w:type="spellStart"/>
                  <w:r w:rsidRPr="00000665">
                    <w:rPr>
                      <w:sz w:val="18"/>
                      <w:szCs w:val="18"/>
                      <w:lang w:val="tr-TR" w:eastAsia="tr-TR"/>
                    </w:rPr>
                    <w:t>imatinib</w:t>
                  </w:r>
                  <w:proofErr w:type="spellEnd"/>
                  <w:r w:rsidRPr="00000665">
                    <w:rPr>
                      <w:sz w:val="18"/>
                      <w:szCs w:val="18"/>
                      <w:lang w:val="tr-TR" w:eastAsia="tr-TR"/>
                    </w:rPr>
                    <w:t xml:space="preserve"> dahil önceki tedavilere dirençli veya </w:t>
                  </w:r>
                  <w:proofErr w:type="spellStart"/>
                  <w:r w:rsidRPr="00000665">
                    <w:rPr>
                      <w:sz w:val="18"/>
                      <w:szCs w:val="18"/>
                      <w:lang w:val="tr-TR" w:eastAsia="tr-TR"/>
                    </w:rPr>
                    <w:t>intolere</w:t>
                  </w:r>
                  <w:proofErr w:type="spellEnd"/>
                  <w:r w:rsidRPr="00000665">
                    <w:rPr>
                      <w:sz w:val="18"/>
                      <w:szCs w:val="18"/>
                      <w:lang w:val="tr-TR" w:eastAsia="tr-TR"/>
                    </w:rPr>
                    <w:t xml:space="preserve"> (aşağıdaki 4. ve 5. maddelerde belirtilen koşullarda),  </w:t>
                  </w:r>
                  <w:proofErr w:type="spellStart"/>
                  <w:r w:rsidRPr="00000665">
                    <w:rPr>
                      <w:sz w:val="18"/>
                      <w:szCs w:val="18"/>
                      <w:lang w:val="tr-TR" w:eastAsia="tr-TR"/>
                    </w:rPr>
                    <w:t>Philadelphia</w:t>
                  </w:r>
                  <w:proofErr w:type="spellEnd"/>
                  <w:r w:rsidRPr="00000665">
                    <w:rPr>
                      <w:sz w:val="18"/>
                      <w:szCs w:val="18"/>
                      <w:lang w:val="tr-TR" w:eastAsia="tr-TR"/>
                    </w:rPr>
                    <w:t xml:space="preserve"> kromozomu pozitif kronik, hızlanmış veya </w:t>
                  </w:r>
                  <w:proofErr w:type="spellStart"/>
                  <w:r w:rsidRPr="00000665">
                    <w:rPr>
                      <w:sz w:val="18"/>
                      <w:szCs w:val="18"/>
                      <w:lang w:val="tr-TR" w:eastAsia="tr-TR"/>
                    </w:rPr>
                    <w:t>blastik</w:t>
                  </w:r>
                  <w:proofErr w:type="spellEnd"/>
                  <w:r w:rsidRPr="00000665">
                    <w:rPr>
                      <w:sz w:val="18"/>
                      <w:szCs w:val="18"/>
                      <w:lang w:val="tr-TR" w:eastAsia="tr-TR"/>
                    </w:rPr>
                    <w:t xml:space="preserve"> evre kronik </w:t>
                  </w:r>
                  <w:proofErr w:type="spellStart"/>
                  <w:r w:rsidRPr="00000665">
                    <w:rPr>
                      <w:sz w:val="18"/>
                      <w:szCs w:val="18"/>
                      <w:lang w:val="tr-TR" w:eastAsia="tr-TR"/>
                    </w:rPr>
                    <w:t>miyeloid</w:t>
                  </w:r>
                  <w:proofErr w:type="spellEnd"/>
                  <w:r w:rsidRPr="00000665">
                    <w:rPr>
                      <w:sz w:val="18"/>
                      <w:szCs w:val="18"/>
                      <w:lang w:val="tr-TR" w:eastAsia="tr-TR"/>
                    </w:rPr>
                    <w:t xml:space="preserve">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w:t>
                  </w:r>
                  <w:proofErr w:type="spellStart"/>
                  <w:r w:rsidRPr="00000665">
                    <w:rPr>
                      <w:sz w:val="18"/>
                      <w:szCs w:val="18"/>
                      <w:lang w:val="tr-TR" w:eastAsia="tr-TR"/>
                    </w:rPr>
                    <w:t>reçetelenir</w:t>
                  </w:r>
                  <w:proofErr w:type="spellEnd"/>
                  <w:r w:rsidRPr="00000665">
                    <w:rPr>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w:t>
                  </w:r>
                  <w:proofErr w:type="spellStart"/>
                  <w:r w:rsidRPr="00000665">
                    <w:rPr>
                      <w:sz w:val="18"/>
                      <w:szCs w:val="18"/>
                      <w:lang w:val="tr-TR" w:eastAsia="tr-TR"/>
                    </w:rPr>
                    <w:t>Nilotinib</w:t>
                  </w:r>
                  <w:proofErr w:type="spellEnd"/>
                  <w:r w:rsidRPr="00000665">
                    <w:rPr>
                      <w:sz w:val="18"/>
                      <w:szCs w:val="18"/>
                      <w:lang w:val="tr-TR" w:eastAsia="tr-TR"/>
                    </w:rPr>
                    <w:t xml:space="preserve"> yalnızca; </w:t>
                  </w:r>
                  <w:proofErr w:type="spellStart"/>
                  <w:r w:rsidRPr="00000665">
                    <w:rPr>
                      <w:sz w:val="18"/>
                      <w:szCs w:val="18"/>
                      <w:lang w:val="tr-TR" w:eastAsia="tr-TR"/>
                    </w:rPr>
                    <w:t>dasatinibe</w:t>
                  </w:r>
                  <w:proofErr w:type="spellEnd"/>
                  <w:r w:rsidRPr="00000665">
                    <w:rPr>
                      <w:sz w:val="18"/>
                      <w:szCs w:val="18"/>
                      <w:lang w:val="tr-TR" w:eastAsia="tr-TR"/>
                    </w:rPr>
                    <w:t xml:space="preserve"> dirençli veya </w:t>
                  </w:r>
                  <w:proofErr w:type="spellStart"/>
                  <w:r w:rsidRPr="00000665">
                    <w:rPr>
                      <w:sz w:val="18"/>
                      <w:szCs w:val="18"/>
                      <w:lang w:val="tr-TR" w:eastAsia="tr-TR"/>
                    </w:rPr>
                    <w:t>intolere</w:t>
                  </w:r>
                  <w:proofErr w:type="spellEnd"/>
                  <w:r w:rsidRPr="00000665">
                    <w:rPr>
                      <w:sz w:val="18"/>
                      <w:szCs w:val="18"/>
                      <w:lang w:val="tr-TR" w:eastAsia="tr-TR"/>
                    </w:rPr>
                    <w:t xml:space="preserve"> (aşağıdaki 4. ve 5. maddelerde belirtilen koşullarda), </w:t>
                  </w:r>
                  <w:proofErr w:type="spellStart"/>
                  <w:r w:rsidRPr="00000665">
                    <w:rPr>
                      <w:sz w:val="18"/>
                      <w:szCs w:val="18"/>
                      <w:lang w:val="tr-TR" w:eastAsia="tr-TR"/>
                    </w:rPr>
                    <w:t>Philadelphia</w:t>
                  </w:r>
                  <w:proofErr w:type="spellEnd"/>
                  <w:r w:rsidRPr="00000665">
                    <w:rPr>
                      <w:sz w:val="18"/>
                      <w:szCs w:val="18"/>
                      <w:lang w:val="tr-TR" w:eastAsia="tr-TR"/>
                    </w:rPr>
                    <w:t xml:space="preserve"> kromozomu pozitif kronik evre veya hızlanmış evre kronik </w:t>
                  </w:r>
                  <w:proofErr w:type="spellStart"/>
                  <w:r w:rsidRPr="00000665">
                    <w:rPr>
                      <w:sz w:val="18"/>
                      <w:szCs w:val="18"/>
                      <w:lang w:val="tr-TR" w:eastAsia="tr-TR"/>
                    </w:rPr>
                    <w:t>miyeloid</w:t>
                  </w:r>
                  <w:proofErr w:type="spellEnd"/>
                  <w:r w:rsidRPr="00000665">
                    <w:rPr>
                      <w:sz w:val="18"/>
                      <w:szCs w:val="18"/>
                      <w:lang w:val="tr-TR" w:eastAsia="tr-TR"/>
                    </w:rPr>
                    <w:t xml:space="preserve"> lösemi tanılı yetişkin hastaların tedavisinde; prospektüsünde yazılan başlama kriterleri dikkate alınarak, bu durumların belirtildiği en az bir hematoloji uzmanının yer aldığı, en fazla 6 ay süreli sağlık kurulu raporuna dayanılarak tıbbi onkoloji veya hematoloji uzman hekimleri tarafından </w:t>
                  </w:r>
                  <w:proofErr w:type="spellStart"/>
                  <w:r w:rsidRPr="00000665">
                    <w:rPr>
                      <w:sz w:val="18"/>
                      <w:szCs w:val="18"/>
                      <w:lang w:val="tr-TR" w:eastAsia="tr-TR"/>
                    </w:rPr>
                    <w:t>reçetelenir</w:t>
                  </w:r>
                  <w:proofErr w:type="spellEnd"/>
                  <w:r w:rsidRPr="00000665">
                    <w:rPr>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3) </w:t>
                  </w:r>
                  <w:proofErr w:type="spellStart"/>
                  <w:r w:rsidRPr="00000665">
                    <w:rPr>
                      <w:sz w:val="18"/>
                      <w:szCs w:val="18"/>
                      <w:lang w:val="tr-TR" w:eastAsia="tr-TR"/>
                    </w:rPr>
                    <w:t>İmatinib</w:t>
                  </w:r>
                  <w:proofErr w:type="spellEnd"/>
                  <w:r w:rsidRPr="00000665">
                    <w:rPr>
                      <w:sz w:val="18"/>
                      <w:szCs w:val="18"/>
                      <w:lang w:val="tr-TR" w:eastAsia="tr-TR"/>
                    </w:rPr>
                    <w:t xml:space="preserve"> dahil önceki tedavilere dirençli veya </w:t>
                  </w:r>
                  <w:proofErr w:type="spellStart"/>
                  <w:r w:rsidRPr="00000665">
                    <w:rPr>
                      <w:sz w:val="18"/>
                      <w:szCs w:val="18"/>
                      <w:lang w:val="tr-TR" w:eastAsia="tr-TR"/>
                    </w:rPr>
                    <w:t>intolere</w:t>
                  </w:r>
                  <w:proofErr w:type="spellEnd"/>
                  <w:r w:rsidRPr="00000665">
                    <w:rPr>
                      <w:sz w:val="18"/>
                      <w:szCs w:val="18"/>
                      <w:lang w:val="tr-TR" w:eastAsia="tr-TR"/>
                    </w:rPr>
                    <w:t xml:space="preserve"> olan hastalardan; </w:t>
                  </w:r>
                  <w:proofErr w:type="spellStart"/>
                  <w:r w:rsidRPr="00000665">
                    <w:rPr>
                      <w:sz w:val="18"/>
                      <w:szCs w:val="18"/>
                      <w:lang w:val="tr-TR" w:eastAsia="tr-TR"/>
                    </w:rPr>
                    <w:t>plevral</w:t>
                  </w:r>
                  <w:proofErr w:type="spellEnd"/>
                  <w:r w:rsidRPr="00000665">
                    <w:rPr>
                      <w:sz w:val="18"/>
                      <w:szCs w:val="18"/>
                      <w:lang w:val="tr-TR" w:eastAsia="tr-TR"/>
                    </w:rPr>
                    <w:t xml:space="preserve"> </w:t>
                  </w:r>
                  <w:proofErr w:type="spellStart"/>
                  <w:r w:rsidRPr="00000665">
                    <w:rPr>
                      <w:sz w:val="18"/>
                      <w:szCs w:val="18"/>
                      <w:lang w:val="tr-TR" w:eastAsia="tr-TR"/>
                    </w:rPr>
                    <w:t>effüzyon</w:t>
                  </w:r>
                  <w:proofErr w:type="spellEnd"/>
                  <w:r w:rsidRPr="00000665">
                    <w:rPr>
                      <w:sz w:val="18"/>
                      <w:szCs w:val="18"/>
                      <w:lang w:val="tr-TR" w:eastAsia="tr-TR"/>
                    </w:rPr>
                    <w:t xml:space="preserve"> veya </w:t>
                  </w:r>
                  <w:proofErr w:type="spellStart"/>
                  <w:r w:rsidRPr="00000665">
                    <w:rPr>
                      <w:sz w:val="18"/>
                      <w:szCs w:val="18"/>
                      <w:lang w:val="tr-TR" w:eastAsia="tr-TR"/>
                    </w:rPr>
                    <w:t>pulmoner</w:t>
                  </w:r>
                  <w:proofErr w:type="spellEnd"/>
                  <w:r w:rsidRPr="00000665">
                    <w:rPr>
                      <w:sz w:val="18"/>
                      <w:szCs w:val="18"/>
                      <w:lang w:val="tr-TR" w:eastAsia="tr-TR"/>
                    </w:rPr>
                    <w:t xml:space="preserve"> hipertansiyon veya KOAH hastalarında, </w:t>
                  </w:r>
                  <w:proofErr w:type="spellStart"/>
                  <w:r w:rsidRPr="00000665">
                    <w:rPr>
                      <w:sz w:val="18"/>
                      <w:szCs w:val="18"/>
                      <w:lang w:val="tr-TR" w:eastAsia="tr-TR"/>
                    </w:rPr>
                    <w:t>imatinib</w:t>
                  </w:r>
                  <w:proofErr w:type="spellEnd"/>
                  <w:r w:rsidRPr="00000665">
                    <w:rPr>
                      <w:sz w:val="18"/>
                      <w:szCs w:val="18"/>
                      <w:lang w:val="tr-TR" w:eastAsia="tr-TR"/>
                    </w:rPr>
                    <w:t xml:space="preserve"> sonrası </w:t>
                  </w:r>
                  <w:proofErr w:type="spellStart"/>
                  <w:r w:rsidRPr="00000665">
                    <w:rPr>
                      <w:sz w:val="18"/>
                      <w:szCs w:val="18"/>
                      <w:lang w:val="tr-TR" w:eastAsia="tr-TR"/>
                    </w:rPr>
                    <w:t>dasatinib</w:t>
                  </w:r>
                  <w:proofErr w:type="spellEnd"/>
                  <w:r w:rsidRPr="00000665">
                    <w:rPr>
                      <w:sz w:val="18"/>
                      <w:szCs w:val="18"/>
                      <w:lang w:val="tr-TR" w:eastAsia="tr-TR"/>
                    </w:rPr>
                    <w:t xml:space="preserve"> kullanılmadan </w:t>
                  </w:r>
                  <w:proofErr w:type="spellStart"/>
                  <w:r w:rsidRPr="00000665">
                    <w:rPr>
                      <w:sz w:val="18"/>
                      <w:szCs w:val="18"/>
                      <w:lang w:val="tr-TR" w:eastAsia="tr-TR"/>
                    </w:rPr>
                    <w:t>nilotinibe</w:t>
                  </w:r>
                  <w:proofErr w:type="spellEnd"/>
                  <w:r w:rsidRPr="00000665">
                    <w:rPr>
                      <w:sz w:val="18"/>
                      <w:szCs w:val="18"/>
                      <w:lang w:val="tr-TR" w:eastAsia="tr-TR"/>
                    </w:rPr>
                    <w:t xml:space="preserve"> geçilebilir.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4) Direnç gelişmesi durumu;</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1- 3. ayda tam hematolojik yanıt olmaması veya </w:t>
                  </w:r>
                  <w:proofErr w:type="spellStart"/>
                  <w:r w:rsidRPr="00000665">
                    <w:rPr>
                      <w:sz w:val="18"/>
                      <w:szCs w:val="18"/>
                      <w:lang w:val="tr-TR" w:eastAsia="tr-TR"/>
                    </w:rPr>
                    <w:t>Philadelphia</w:t>
                  </w:r>
                  <w:proofErr w:type="spellEnd"/>
                  <w:r w:rsidRPr="00000665">
                    <w:rPr>
                      <w:sz w:val="18"/>
                      <w:szCs w:val="18"/>
                      <w:lang w:val="tr-TR" w:eastAsia="tr-TR"/>
                    </w:rPr>
                    <w:t xml:space="preserve"> kromozomu %95 üzerinde pozitif olması,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2- 6. ayda uluslararası skala ile  (ıs) BCR-ABL &gt;%10  olması veya  </w:t>
                  </w:r>
                  <w:proofErr w:type="spellStart"/>
                  <w:r w:rsidRPr="00000665">
                    <w:rPr>
                      <w:sz w:val="18"/>
                      <w:szCs w:val="18"/>
                      <w:lang w:val="tr-TR" w:eastAsia="tr-TR"/>
                    </w:rPr>
                    <w:t>Philadelphia</w:t>
                  </w:r>
                  <w:proofErr w:type="spellEnd"/>
                  <w:r w:rsidRPr="00000665">
                    <w:rPr>
                      <w:sz w:val="18"/>
                      <w:szCs w:val="18"/>
                      <w:lang w:val="tr-TR" w:eastAsia="tr-TR"/>
                    </w:rPr>
                    <w:t xml:space="preserve"> kromozomu  % 35 üzerinde pozitif olması,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3- 12. ayda uluslararası skala ile  (ıs) BCR-ABL &gt;% 1 olması veya  </w:t>
                  </w:r>
                  <w:proofErr w:type="spellStart"/>
                  <w:r w:rsidRPr="00000665">
                    <w:rPr>
                      <w:sz w:val="18"/>
                      <w:szCs w:val="18"/>
                      <w:lang w:val="tr-TR" w:eastAsia="tr-TR"/>
                    </w:rPr>
                    <w:t>Philadelphia</w:t>
                  </w:r>
                  <w:proofErr w:type="spellEnd"/>
                  <w:r w:rsidRPr="00000665">
                    <w:rPr>
                      <w:sz w:val="18"/>
                      <w:szCs w:val="18"/>
                      <w:lang w:val="tr-TR" w:eastAsia="tr-TR"/>
                    </w:rPr>
                    <w:t xml:space="preserve"> kromozomu pozitif olması,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4- Tedavi sırasında herhangi bir zamanda aşağıdaki durumlardan herhangi birinin oluşması;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Tam hematolojik yanıt kaybı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Tam </w:t>
                  </w:r>
                  <w:proofErr w:type="spellStart"/>
                  <w:r w:rsidRPr="00000665">
                    <w:rPr>
                      <w:sz w:val="18"/>
                      <w:szCs w:val="18"/>
                      <w:lang w:val="tr-TR" w:eastAsia="tr-TR"/>
                    </w:rPr>
                    <w:t>sitogenetik</w:t>
                  </w:r>
                  <w:proofErr w:type="spellEnd"/>
                  <w:r w:rsidRPr="00000665">
                    <w:rPr>
                      <w:sz w:val="18"/>
                      <w:szCs w:val="18"/>
                      <w:lang w:val="tr-TR" w:eastAsia="tr-TR"/>
                    </w:rPr>
                    <w:t xml:space="preserve"> yanıt kaybı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c) En az 2 ölçümle konfirme edilmiş majör moleküler yanıt kaybı (uluslararası skala ile %1’in üzerinde olması)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ç) Mutasyon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d) </w:t>
                  </w:r>
                  <w:proofErr w:type="spellStart"/>
                  <w:r w:rsidRPr="00000665">
                    <w:rPr>
                      <w:sz w:val="18"/>
                      <w:szCs w:val="18"/>
                      <w:lang w:val="tr-TR" w:eastAsia="tr-TR"/>
                    </w:rPr>
                    <w:t>Philadelphia</w:t>
                  </w:r>
                  <w:proofErr w:type="spellEnd"/>
                  <w:r w:rsidRPr="00000665">
                    <w:rPr>
                      <w:sz w:val="18"/>
                      <w:szCs w:val="18"/>
                      <w:lang w:val="tr-TR" w:eastAsia="tr-TR"/>
                    </w:rPr>
                    <w:t xml:space="preserve"> kromozomu pozitifliği ile birlikte </w:t>
                  </w:r>
                  <w:proofErr w:type="spellStart"/>
                  <w:r w:rsidRPr="00000665">
                    <w:rPr>
                      <w:sz w:val="18"/>
                      <w:szCs w:val="18"/>
                      <w:lang w:val="tr-TR" w:eastAsia="tr-TR"/>
                    </w:rPr>
                    <w:t>klonal</w:t>
                  </w:r>
                  <w:proofErr w:type="spellEnd"/>
                  <w:r w:rsidRPr="00000665">
                    <w:rPr>
                      <w:sz w:val="18"/>
                      <w:szCs w:val="18"/>
                      <w:lang w:val="tr-TR" w:eastAsia="tr-TR"/>
                    </w:rPr>
                    <w:t xml:space="preserve"> </w:t>
                  </w:r>
                  <w:proofErr w:type="spellStart"/>
                  <w:r w:rsidRPr="00000665">
                    <w:rPr>
                      <w:sz w:val="18"/>
                      <w:szCs w:val="18"/>
                      <w:lang w:val="tr-TR" w:eastAsia="tr-TR"/>
                    </w:rPr>
                    <w:t>karyotipik</w:t>
                  </w:r>
                  <w:proofErr w:type="spellEnd"/>
                  <w:r w:rsidRPr="00000665">
                    <w:rPr>
                      <w:sz w:val="18"/>
                      <w:szCs w:val="18"/>
                      <w:lang w:val="tr-TR" w:eastAsia="tr-TR"/>
                    </w:rPr>
                    <w:t xml:space="preserve"> anormallik</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5) </w:t>
                  </w:r>
                  <w:proofErr w:type="spellStart"/>
                  <w:r w:rsidRPr="00000665">
                    <w:rPr>
                      <w:sz w:val="18"/>
                      <w:szCs w:val="18"/>
                      <w:lang w:val="tr-TR" w:eastAsia="tr-TR"/>
                    </w:rPr>
                    <w:t>İntolerans</w:t>
                  </w:r>
                  <w:proofErr w:type="spellEnd"/>
                  <w:r w:rsidRPr="00000665">
                    <w:rPr>
                      <w:sz w:val="18"/>
                      <w:szCs w:val="18"/>
                      <w:lang w:val="tr-TR" w:eastAsia="tr-TR"/>
                    </w:rPr>
                    <w:t xml:space="preserve"> gelişmesi durumu;</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Yan etkinin ne olduğu ve derecesinin nasıl saptandığı raporda belirtilmek koşulu ile </w:t>
                  </w:r>
                  <w:proofErr w:type="spellStart"/>
                  <w:r w:rsidRPr="00000665">
                    <w:rPr>
                      <w:sz w:val="18"/>
                      <w:szCs w:val="18"/>
                      <w:lang w:val="tr-TR" w:eastAsia="tr-TR"/>
                    </w:rPr>
                    <w:t>grade</w:t>
                  </w:r>
                  <w:proofErr w:type="spellEnd"/>
                  <w:r w:rsidRPr="00000665">
                    <w:rPr>
                      <w:sz w:val="18"/>
                      <w:szCs w:val="18"/>
                      <w:lang w:val="tr-TR" w:eastAsia="tr-TR"/>
                    </w:rPr>
                    <w:t xml:space="preserve"> (derece) 3-4 yan etki oluşması.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6) </w:t>
                  </w:r>
                  <w:proofErr w:type="spellStart"/>
                  <w:r w:rsidRPr="00000665">
                    <w:rPr>
                      <w:sz w:val="18"/>
                      <w:szCs w:val="18"/>
                      <w:lang w:val="tr-TR" w:eastAsia="tr-TR"/>
                    </w:rPr>
                    <w:t>Dasatinib</w:t>
                  </w:r>
                  <w:proofErr w:type="spellEnd"/>
                  <w:r w:rsidRPr="00000665">
                    <w:rPr>
                      <w:sz w:val="18"/>
                      <w:szCs w:val="18"/>
                      <w:lang w:val="tr-TR" w:eastAsia="tr-TR"/>
                    </w:rPr>
                    <w:t xml:space="preserve"> ve </w:t>
                  </w:r>
                  <w:proofErr w:type="spellStart"/>
                  <w:r w:rsidRPr="00000665">
                    <w:rPr>
                      <w:sz w:val="18"/>
                      <w:szCs w:val="18"/>
                      <w:lang w:val="tr-TR" w:eastAsia="tr-TR"/>
                    </w:rPr>
                    <w:t>nilotinib</w:t>
                  </w:r>
                  <w:proofErr w:type="spellEnd"/>
                  <w:r w:rsidRPr="00000665">
                    <w:rPr>
                      <w:sz w:val="18"/>
                      <w:szCs w:val="18"/>
                      <w:lang w:val="tr-TR" w:eastAsia="tr-TR"/>
                    </w:rPr>
                    <w:t xml:space="preserve"> kombine olarak kullanılamayacaktır.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ALL (akut </w:t>
                  </w:r>
                  <w:proofErr w:type="spellStart"/>
                  <w:r w:rsidRPr="00000665">
                    <w:rPr>
                      <w:sz w:val="18"/>
                      <w:szCs w:val="18"/>
                      <w:lang w:val="tr-TR" w:eastAsia="tr-TR"/>
                    </w:rPr>
                    <w:t>lenfoblastik</w:t>
                  </w:r>
                  <w:proofErr w:type="spellEnd"/>
                  <w:r w:rsidRPr="00000665">
                    <w:rPr>
                      <w:sz w:val="18"/>
                      <w:szCs w:val="18"/>
                      <w:lang w:val="tr-TR" w:eastAsia="tr-TR"/>
                    </w:rPr>
                    <w:t xml:space="preserve"> lösemili) yetişkin hastaların tedavisinde;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w:t>
                  </w:r>
                  <w:proofErr w:type="spellStart"/>
                  <w:r w:rsidRPr="00000665">
                    <w:rPr>
                      <w:sz w:val="18"/>
                      <w:szCs w:val="18"/>
                      <w:lang w:val="tr-TR" w:eastAsia="tr-TR"/>
                    </w:rPr>
                    <w:t>Dasatinib</w:t>
                  </w:r>
                  <w:proofErr w:type="spellEnd"/>
                  <w:r w:rsidRPr="00000665">
                    <w:rPr>
                      <w:sz w:val="18"/>
                      <w:szCs w:val="18"/>
                      <w:lang w:val="tr-TR" w:eastAsia="tr-TR"/>
                    </w:rPr>
                    <w:t xml:space="preserve">; </w:t>
                  </w:r>
                  <w:proofErr w:type="spellStart"/>
                  <w:r w:rsidRPr="00000665">
                    <w:rPr>
                      <w:sz w:val="18"/>
                      <w:szCs w:val="18"/>
                      <w:lang w:val="tr-TR" w:eastAsia="tr-TR"/>
                    </w:rPr>
                    <w:t>Relaps</w:t>
                  </w:r>
                  <w:proofErr w:type="spellEnd"/>
                  <w:r w:rsidRPr="00000665">
                    <w:rPr>
                      <w:sz w:val="18"/>
                      <w:szCs w:val="18"/>
                      <w:lang w:val="tr-TR" w:eastAsia="tr-TR"/>
                    </w:rPr>
                    <w:t>/</w:t>
                  </w:r>
                  <w:proofErr w:type="spellStart"/>
                  <w:r w:rsidRPr="00000665">
                    <w:rPr>
                      <w:sz w:val="18"/>
                      <w:szCs w:val="18"/>
                      <w:lang w:val="tr-TR" w:eastAsia="tr-TR"/>
                    </w:rPr>
                    <w:t>refrakter</w:t>
                  </w:r>
                  <w:proofErr w:type="spellEnd"/>
                  <w:r w:rsidRPr="00000665">
                    <w:rPr>
                      <w:sz w:val="18"/>
                      <w:szCs w:val="18"/>
                      <w:lang w:val="tr-TR" w:eastAsia="tr-TR"/>
                    </w:rPr>
                    <w:t xml:space="preserve"> </w:t>
                  </w:r>
                  <w:proofErr w:type="spellStart"/>
                  <w:r w:rsidRPr="00000665">
                    <w:rPr>
                      <w:sz w:val="18"/>
                      <w:szCs w:val="18"/>
                      <w:lang w:val="tr-TR" w:eastAsia="tr-TR"/>
                    </w:rPr>
                    <w:t>Philadelphia</w:t>
                  </w:r>
                  <w:proofErr w:type="spellEnd"/>
                  <w:r w:rsidRPr="00000665">
                    <w:rPr>
                      <w:sz w:val="18"/>
                      <w:szCs w:val="18"/>
                      <w:lang w:val="tr-TR" w:eastAsia="tr-TR"/>
                    </w:rPr>
                    <w:t xml:space="preserve"> kromozomu pozitif (</w:t>
                  </w:r>
                  <w:proofErr w:type="spellStart"/>
                  <w:r w:rsidRPr="00000665">
                    <w:rPr>
                      <w:sz w:val="18"/>
                      <w:szCs w:val="18"/>
                      <w:lang w:val="tr-TR" w:eastAsia="tr-TR"/>
                    </w:rPr>
                    <w:t>Ph</w:t>
                  </w:r>
                  <w:proofErr w:type="spellEnd"/>
                  <w:r w:rsidRPr="00000665">
                    <w:rPr>
                      <w:sz w:val="18"/>
                      <w:szCs w:val="18"/>
                      <w:lang w:val="tr-TR" w:eastAsia="tr-TR"/>
                    </w:rPr>
                    <w:t xml:space="preserve">+) ALL (akut </w:t>
                  </w:r>
                  <w:proofErr w:type="spellStart"/>
                  <w:r w:rsidRPr="00000665">
                    <w:rPr>
                      <w:sz w:val="18"/>
                      <w:szCs w:val="18"/>
                      <w:lang w:val="tr-TR" w:eastAsia="tr-TR"/>
                    </w:rPr>
                    <w:t>lenfoblastik</w:t>
                  </w:r>
                  <w:proofErr w:type="spellEnd"/>
                  <w:r w:rsidRPr="00000665">
                    <w:rPr>
                      <w:sz w:val="18"/>
                      <w:szCs w:val="18"/>
                      <w:lang w:val="tr-TR" w:eastAsia="tr-TR"/>
                    </w:rPr>
                    <w:t xml:space="preserve"> lösemili) yetişkin hastaların tedavisinde çoklu ajanlı kemoterapi şemaları ile birlikte içinde en az bir hematoloji uzmanının yer aldığı, en fazla 6 ay süre ile geçerli sağlık kurulu raporu ile tıbbi onkoloji veya hematoloji uzman hekimleri tarafından </w:t>
                  </w:r>
                  <w:proofErr w:type="spellStart"/>
                  <w:r w:rsidRPr="00000665">
                    <w:rPr>
                      <w:sz w:val="18"/>
                      <w:szCs w:val="18"/>
                      <w:lang w:val="tr-TR" w:eastAsia="tr-TR"/>
                    </w:rPr>
                    <w:t>reçetelenir</w:t>
                  </w:r>
                  <w:proofErr w:type="spellEnd"/>
                  <w:r w:rsidRPr="00000665">
                    <w:rPr>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lastRenderedPageBreak/>
                    <w:t xml:space="preserve">2) </w:t>
                  </w:r>
                  <w:proofErr w:type="spellStart"/>
                  <w:r w:rsidRPr="00000665">
                    <w:rPr>
                      <w:sz w:val="18"/>
                      <w:szCs w:val="18"/>
                      <w:lang w:val="tr-TR" w:eastAsia="tr-TR"/>
                    </w:rPr>
                    <w:t>Dasatinib</w:t>
                  </w:r>
                  <w:proofErr w:type="spellEnd"/>
                  <w:r w:rsidRPr="00000665">
                    <w:rPr>
                      <w:sz w:val="18"/>
                      <w:szCs w:val="18"/>
                      <w:lang w:val="tr-TR" w:eastAsia="tr-TR"/>
                    </w:rPr>
                    <w:t xml:space="preserve"> ve </w:t>
                  </w:r>
                  <w:proofErr w:type="spellStart"/>
                  <w:r w:rsidRPr="00000665">
                    <w:rPr>
                      <w:sz w:val="18"/>
                      <w:szCs w:val="18"/>
                      <w:lang w:val="tr-TR" w:eastAsia="tr-TR"/>
                    </w:rPr>
                    <w:t>nilotinib</w:t>
                  </w:r>
                  <w:proofErr w:type="spellEnd"/>
                  <w:r w:rsidRPr="00000665">
                    <w:rPr>
                      <w:sz w:val="18"/>
                      <w:szCs w:val="18"/>
                      <w:lang w:val="tr-TR" w:eastAsia="tr-TR"/>
                    </w:rPr>
                    <w:t xml:space="preserve"> kombine olarak kullanılamayacaktır.”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ç) (n) bendi aşağıdaki şekilde değiştirilmiştir.</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“n) </w:t>
                  </w:r>
                  <w:proofErr w:type="spellStart"/>
                  <w:r w:rsidRPr="00000665">
                    <w:rPr>
                      <w:b/>
                      <w:sz w:val="18"/>
                      <w:szCs w:val="18"/>
                      <w:lang w:val="tr-TR" w:eastAsia="tr-TR"/>
                    </w:rPr>
                    <w:t>Lenalidomid</w:t>
                  </w:r>
                  <w:proofErr w:type="spellEnd"/>
                  <w:r w:rsidRPr="00000665">
                    <w:rPr>
                      <w:b/>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En az 2 kür standart </w:t>
                  </w:r>
                  <w:proofErr w:type="spellStart"/>
                  <w:r w:rsidRPr="00000665">
                    <w:rPr>
                      <w:sz w:val="18"/>
                      <w:szCs w:val="18"/>
                      <w:lang w:val="tr-TR" w:eastAsia="tr-TR"/>
                    </w:rPr>
                    <w:t>multiple</w:t>
                  </w:r>
                  <w:proofErr w:type="spellEnd"/>
                  <w:r w:rsidRPr="00000665">
                    <w:rPr>
                      <w:sz w:val="18"/>
                      <w:szCs w:val="18"/>
                      <w:lang w:val="tr-TR" w:eastAsia="tr-TR"/>
                    </w:rPr>
                    <w:t xml:space="preserve"> </w:t>
                  </w:r>
                  <w:proofErr w:type="spellStart"/>
                  <w:r w:rsidRPr="00000665">
                    <w:rPr>
                      <w:sz w:val="18"/>
                      <w:szCs w:val="18"/>
                      <w:lang w:val="tr-TR" w:eastAsia="tr-TR"/>
                    </w:rPr>
                    <w:t>myelom</w:t>
                  </w:r>
                  <w:proofErr w:type="spellEnd"/>
                  <w:r w:rsidRPr="00000665">
                    <w:rPr>
                      <w:sz w:val="18"/>
                      <w:szCs w:val="18"/>
                      <w:lang w:val="tr-TR" w:eastAsia="tr-TR"/>
                    </w:rPr>
                    <w:t xml:space="preserve"> tedavisi (VAD, MP veya diğer standart </w:t>
                  </w:r>
                  <w:proofErr w:type="spellStart"/>
                  <w:r w:rsidRPr="00000665">
                    <w:rPr>
                      <w:sz w:val="18"/>
                      <w:szCs w:val="18"/>
                      <w:lang w:val="tr-TR" w:eastAsia="tr-TR"/>
                    </w:rPr>
                    <w:t>antimiyelom</w:t>
                  </w:r>
                  <w:proofErr w:type="spellEnd"/>
                  <w:r w:rsidRPr="00000665">
                    <w:rPr>
                      <w:sz w:val="18"/>
                      <w:szCs w:val="18"/>
                      <w:lang w:val="tr-TR" w:eastAsia="tr-TR"/>
                    </w:rPr>
                    <w:t xml:space="preserve"> rejimler) kullanım sonrası hastalık </w:t>
                  </w:r>
                  <w:proofErr w:type="spellStart"/>
                  <w:r w:rsidRPr="00000665">
                    <w:rPr>
                      <w:sz w:val="18"/>
                      <w:szCs w:val="18"/>
                      <w:lang w:val="tr-TR" w:eastAsia="tr-TR"/>
                    </w:rPr>
                    <w:t>progresyonu</w:t>
                  </w:r>
                  <w:proofErr w:type="spellEnd"/>
                  <w:r w:rsidRPr="00000665">
                    <w:rPr>
                      <w:sz w:val="18"/>
                      <w:szCs w:val="18"/>
                      <w:lang w:val="tr-TR" w:eastAsia="tr-TR"/>
                    </w:rPr>
                    <w:t xml:space="preserve"> gelişmiş hastalardan;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Yeterli doz ve sürede </w:t>
                  </w:r>
                  <w:proofErr w:type="spellStart"/>
                  <w:r w:rsidRPr="00000665">
                    <w:rPr>
                      <w:sz w:val="18"/>
                      <w:szCs w:val="18"/>
                      <w:lang w:val="tr-TR" w:eastAsia="tr-TR"/>
                    </w:rPr>
                    <w:t>talidomid</w:t>
                  </w:r>
                  <w:proofErr w:type="spellEnd"/>
                  <w:r w:rsidRPr="00000665">
                    <w:rPr>
                      <w:sz w:val="18"/>
                      <w:szCs w:val="18"/>
                      <w:lang w:val="tr-TR" w:eastAsia="tr-TR"/>
                    </w:rPr>
                    <w:t xml:space="preserve"> veya </w:t>
                  </w:r>
                  <w:proofErr w:type="spellStart"/>
                  <w:r w:rsidRPr="00000665">
                    <w:rPr>
                      <w:sz w:val="18"/>
                      <w:szCs w:val="18"/>
                      <w:lang w:val="tr-TR" w:eastAsia="tr-TR"/>
                    </w:rPr>
                    <w:t>bortezomib</w:t>
                  </w:r>
                  <w:proofErr w:type="spellEnd"/>
                  <w:r w:rsidRPr="00000665">
                    <w:rPr>
                      <w:sz w:val="18"/>
                      <w:szCs w:val="18"/>
                      <w:lang w:val="tr-TR" w:eastAsia="tr-TR"/>
                    </w:rPr>
                    <w:t xml:space="preserve"> kürlerine dirençli veya EMG ile kanıtlanmış </w:t>
                  </w:r>
                  <w:proofErr w:type="spellStart"/>
                  <w:r w:rsidRPr="00000665">
                    <w:rPr>
                      <w:sz w:val="18"/>
                      <w:szCs w:val="18"/>
                      <w:lang w:val="tr-TR" w:eastAsia="tr-TR"/>
                    </w:rPr>
                    <w:t>nöropati</w:t>
                  </w:r>
                  <w:proofErr w:type="spellEnd"/>
                  <w:r w:rsidRPr="00000665">
                    <w:rPr>
                      <w:sz w:val="18"/>
                      <w:szCs w:val="18"/>
                      <w:lang w:val="tr-TR" w:eastAsia="tr-TR"/>
                    </w:rPr>
                    <w:t xml:space="preserve"> nedeni ile bu ajanların kullanılamadığı hastaların tedavisinde veya,</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Transplantasyon sonrasında dirençli hastalığı olan </w:t>
                  </w:r>
                  <w:proofErr w:type="spellStart"/>
                  <w:r w:rsidRPr="00000665">
                    <w:rPr>
                      <w:sz w:val="18"/>
                      <w:szCs w:val="18"/>
                      <w:lang w:val="tr-TR" w:eastAsia="tr-TR"/>
                    </w:rPr>
                    <w:t>multiple</w:t>
                  </w:r>
                  <w:proofErr w:type="spellEnd"/>
                  <w:r w:rsidRPr="00000665">
                    <w:rPr>
                      <w:sz w:val="18"/>
                      <w:szCs w:val="18"/>
                      <w:lang w:val="tr-TR" w:eastAsia="tr-TR"/>
                    </w:rPr>
                    <w:t xml:space="preserve"> </w:t>
                  </w:r>
                  <w:proofErr w:type="spellStart"/>
                  <w:r w:rsidRPr="00000665">
                    <w:rPr>
                      <w:sz w:val="18"/>
                      <w:szCs w:val="18"/>
                      <w:lang w:val="tr-TR" w:eastAsia="tr-TR"/>
                    </w:rPr>
                    <w:t>myelom</w:t>
                  </w:r>
                  <w:proofErr w:type="spellEnd"/>
                  <w:r w:rsidRPr="00000665">
                    <w:rPr>
                      <w:sz w:val="18"/>
                      <w:szCs w:val="18"/>
                      <w:lang w:val="tr-TR" w:eastAsia="tr-TR"/>
                    </w:rPr>
                    <w:t xml:space="preserve"> (MM) hastalarının tedavisinde,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hematoloji ve/veya onkoloji uzmanının yer aldığı 3 ay süreli sağlık kurulu raporuna dayanılarak yine bu hekimler tarafından reçete edilir. 3 üncü kür sonunda en az minör yanıt yoksa tedavi sonlandırılır. 3 üncü kür sonunda en az minör yanıt, 6 </w:t>
                  </w:r>
                  <w:proofErr w:type="spellStart"/>
                  <w:r w:rsidRPr="00000665">
                    <w:rPr>
                      <w:sz w:val="18"/>
                      <w:szCs w:val="18"/>
                      <w:lang w:val="tr-TR" w:eastAsia="tr-TR"/>
                    </w:rPr>
                    <w:t>ncı</w:t>
                  </w:r>
                  <w:proofErr w:type="spellEnd"/>
                  <w:r w:rsidRPr="00000665">
                    <w:rPr>
                      <w:sz w:val="18"/>
                      <w:szCs w:val="18"/>
                      <w:lang w:val="tr-TR" w:eastAsia="tr-TR"/>
                    </w:rPr>
                    <w:t xml:space="preserve"> kür sonunda en az kısmi yanıt var ise tedaviye devam edilir. Tedavinin devamında her 6 </w:t>
                  </w:r>
                  <w:proofErr w:type="spellStart"/>
                  <w:r w:rsidRPr="00000665">
                    <w:rPr>
                      <w:sz w:val="18"/>
                      <w:szCs w:val="18"/>
                      <w:lang w:val="tr-TR" w:eastAsia="tr-TR"/>
                    </w:rPr>
                    <w:t>ncı</w:t>
                  </w:r>
                  <w:proofErr w:type="spellEnd"/>
                  <w:r w:rsidRPr="00000665">
                    <w:rPr>
                      <w:sz w:val="18"/>
                      <w:szCs w:val="18"/>
                      <w:lang w:val="tr-TR" w:eastAsia="tr-TR"/>
                    </w:rPr>
                    <w:t xml:space="preserve"> kür sonunda en az kısmi yanıt var ise tedavi toplam 26 küre tamamlanabilir.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Tek başına veya başka </w:t>
                  </w:r>
                  <w:proofErr w:type="spellStart"/>
                  <w:r w:rsidRPr="00000665">
                    <w:rPr>
                      <w:sz w:val="18"/>
                      <w:szCs w:val="18"/>
                      <w:lang w:val="tr-TR" w:eastAsia="tr-TR"/>
                    </w:rPr>
                    <w:t>sitogenetik</w:t>
                  </w:r>
                  <w:proofErr w:type="spellEnd"/>
                  <w:r w:rsidRPr="00000665">
                    <w:rPr>
                      <w:sz w:val="18"/>
                      <w:szCs w:val="18"/>
                      <w:lang w:val="tr-TR" w:eastAsia="tr-TR"/>
                    </w:rPr>
                    <w:t xml:space="preserve"> anomalilerle birlikte 5q </w:t>
                  </w:r>
                  <w:proofErr w:type="spellStart"/>
                  <w:r w:rsidRPr="00000665">
                    <w:rPr>
                      <w:sz w:val="18"/>
                      <w:szCs w:val="18"/>
                      <w:lang w:val="tr-TR" w:eastAsia="tr-TR"/>
                    </w:rPr>
                    <w:t>delesyonu</w:t>
                  </w:r>
                  <w:proofErr w:type="spellEnd"/>
                  <w:r w:rsidRPr="00000665">
                    <w:rPr>
                      <w:sz w:val="18"/>
                      <w:szCs w:val="18"/>
                      <w:lang w:val="tr-TR" w:eastAsia="tr-TR"/>
                    </w:rPr>
                    <w:t xml:space="preserve"> saptanan </w:t>
                  </w:r>
                  <w:proofErr w:type="spellStart"/>
                  <w:r w:rsidRPr="00000665">
                    <w:rPr>
                      <w:sz w:val="18"/>
                      <w:szCs w:val="18"/>
                      <w:lang w:val="tr-TR" w:eastAsia="tr-TR"/>
                    </w:rPr>
                    <w:t>miyelodisplastik</w:t>
                  </w:r>
                  <w:proofErr w:type="spellEnd"/>
                  <w:r w:rsidRPr="00000665">
                    <w:rPr>
                      <w:sz w:val="18"/>
                      <w:szCs w:val="18"/>
                      <w:lang w:val="tr-TR" w:eastAsia="tr-TR"/>
                    </w:rPr>
                    <w:t xml:space="preserve"> sendromlu hastalardan;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IPSS (Uluslararası </w:t>
                  </w:r>
                  <w:proofErr w:type="spellStart"/>
                  <w:r w:rsidRPr="00000665">
                    <w:rPr>
                      <w:sz w:val="18"/>
                      <w:szCs w:val="18"/>
                      <w:lang w:val="tr-TR" w:eastAsia="tr-TR"/>
                    </w:rPr>
                    <w:t>prognoz</w:t>
                  </w:r>
                  <w:proofErr w:type="spellEnd"/>
                  <w:r w:rsidRPr="00000665">
                    <w:rPr>
                      <w:sz w:val="18"/>
                      <w:szCs w:val="18"/>
                      <w:lang w:val="tr-TR" w:eastAsia="tr-TR"/>
                    </w:rPr>
                    <w:t xml:space="preserve"> puanlama sistemi)'ye göre düşük veya orta-1 riskli ve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Transfüzyona bağımlı anemisi bulunan hastalarda; hematoloji ve/veya tıbbi onkoloji uzmanının yer aldığı 3’er aylık sağlık kurulu raporlarına dayanılarak hematoloji veya tıbbi onkoloji uzman hekimleri tarafından reçete edilebilir. Tedavinin 3. ayın sonunda yapılan yanıt değerlendirmesinde, 8 hafta içinde hiç transfüzyon yapılmamış olması koşulu ile  transfüzyon ihtiyacının ortadan kalkması halinde bu durumun belirtildiği yeni düzenlenecek 3 ay süreli sağlık kurulu raporları ile tedavi 12. aya kadar uzatılabilir. 3. ayda yapılan yanıt değerlendirmesinde transfüzyon ihtiyacının ortadan kalkmaması halinde tedavi sonlandırılır. Bu </w:t>
                  </w:r>
                  <w:proofErr w:type="spellStart"/>
                  <w:r w:rsidRPr="00000665">
                    <w:rPr>
                      <w:sz w:val="18"/>
                      <w:szCs w:val="18"/>
                      <w:lang w:val="tr-TR" w:eastAsia="tr-TR"/>
                    </w:rPr>
                    <w:t>endikasyonda</w:t>
                  </w:r>
                  <w:proofErr w:type="spellEnd"/>
                  <w:r w:rsidRPr="00000665">
                    <w:rPr>
                      <w:sz w:val="18"/>
                      <w:szCs w:val="18"/>
                      <w:lang w:val="tr-TR" w:eastAsia="tr-TR"/>
                    </w:rPr>
                    <w:t xml:space="preserve"> </w:t>
                  </w:r>
                  <w:proofErr w:type="spellStart"/>
                  <w:r w:rsidRPr="00000665">
                    <w:rPr>
                      <w:sz w:val="18"/>
                      <w:szCs w:val="18"/>
                      <w:lang w:val="tr-TR" w:eastAsia="tr-TR"/>
                    </w:rPr>
                    <w:t>lenalidomidin</w:t>
                  </w:r>
                  <w:proofErr w:type="spellEnd"/>
                  <w:r w:rsidRPr="00000665">
                    <w:rPr>
                      <w:sz w:val="18"/>
                      <w:szCs w:val="18"/>
                      <w:lang w:val="tr-TR" w:eastAsia="tr-TR"/>
                    </w:rPr>
                    <w:t xml:space="preserve"> yalnızca 10 </w:t>
                  </w:r>
                  <w:proofErr w:type="spellStart"/>
                  <w:r w:rsidRPr="00000665">
                    <w:rPr>
                      <w:sz w:val="18"/>
                      <w:szCs w:val="18"/>
                      <w:lang w:val="tr-TR" w:eastAsia="tr-TR"/>
                    </w:rPr>
                    <w:t>mg’lık</w:t>
                  </w:r>
                  <w:proofErr w:type="spellEnd"/>
                  <w:r w:rsidRPr="00000665">
                    <w:rPr>
                      <w:sz w:val="18"/>
                      <w:szCs w:val="18"/>
                      <w:lang w:val="tr-TR" w:eastAsia="tr-TR"/>
                    </w:rPr>
                    <w:t xml:space="preserve"> formları ödenir.”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d) (p) bendinin ikinci alt bendinde yer alan “(Ki-67 değeri 2 veya altında olan)” ibaresi  “(Ki-67 değeri 20 veya altında olan)”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e) (y) bendinden sonra gelmek üzere aşağıdaki bentler eklenmiştir.</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“z) </w:t>
                  </w:r>
                  <w:proofErr w:type="spellStart"/>
                  <w:r w:rsidRPr="00000665">
                    <w:rPr>
                      <w:b/>
                      <w:sz w:val="18"/>
                      <w:szCs w:val="18"/>
                      <w:lang w:val="tr-TR" w:eastAsia="tr-TR"/>
                    </w:rPr>
                    <w:t>Dabrafenib</w:t>
                  </w:r>
                  <w:proofErr w:type="spellEnd"/>
                  <w:r w:rsidRPr="00000665">
                    <w:rPr>
                      <w:b/>
                      <w:sz w:val="18"/>
                      <w:szCs w:val="18"/>
                      <w:lang w:val="tr-TR" w:eastAsia="tr-TR"/>
                    </w:rPr>
                    <w:t xml:space="preserve"> ve </w:t>
                  </w:r>
                  <w:proofErr w:type="spellStart"/>
                  <w:r w:rsidRPr="00000665">
                    <w:rPr>
                      <w:b/>
                      <w:sz w:val="18"/>
                      <w:szCs w:val="18"/>
                      <w:lang w:val="tr-TR" w:eastAsia="tr-TR"/>
                    </w:rPr>
                    <w:t>vemurafenib</w:t>
                  </w:r>
                  <w:proofErr w:type="spellEnd"/>
                  <w:r w:rsidRPr="00000665">
                    <w:rPr>
                      <w:b/>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Daha önce herhangi bir RAF yolağı inhibitörü kullanmamış ve ECOG performans skoru 0 veya 1 olan ve BRAF V600 mutasyonu pozitif olan aşağıda belirtilen hasta gruplarında tek ajan olarak </w:t>
                  </w:r>
                  <w:proofErr w:type="spellStart"/>
                  <w:r w:rsidRPr="00000665">
                    <w:rPr>
                      <w:sz w:val="18"/>
                      <w:szCs w:val="18"/>
                      <w:lang w:val="tr-TR" w:eastAsia="tr-TR"/>
                    </w:rPr>
                    <w:t>progresyona</w:t>
                  </w:r>
                  <w:proofErr w:type="spellEnd"/>
                  <w:r w:rsidRPr="00000665">
                    <w:rPr>
                      <w:sz w:val="18"/>
                      <w:szCs w:val="18"/>
                      <w:lang w:val="tr-TR" w:eastAsia="tr-TR"/>
                    </w:rPr>
                    <w:t xml:space="preserve"> kadar kullanılabilir;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Lokal tedaviler sonrası </w:t>
                  </w:r>
                  <w:proofErr w:type="spellStart"/>
                  <w:r w:rsidRPr="00000665">
                    <w:rPr>
                      <w:sz w:val="18"/>
                      <w:szCs w:val="18"/>
                      <w:lang w:val="tr-TR" w:eastAsia="tr-TR"/>
                    </w:rPr>
                    <w:t>progresyon</w:t>
                  </w:r>
                  <w:proofErr w:type="spellEnd"/>
                  <w:r w:rsidRPr="00000665">
                    <w:rPr>
                      <w:sz w:val="18"/>
                      <w:szCs w:val="18"/>
                      <w:lang w:val="tr-TR" w:eastAsia="tr-TR"/>
                    </w:rPr>
                    <w:t xml:space="preserve"> göstermiş ve lokal tedavilerin tekrar kullanılamadığı </w:t>
                  </w:r>
                  <w:proofErr w:type="spellStart"/>
                  <w:r w:rsidRPr="00000665">
                    <w:rPr>
                      <w:sz w:val="18"/>
                      <w:szCs w:val="18"/>
                      <w:lang w:val="tr-TR" w:eastAsia="tr-TR"/>
                    </w:rPr>
                    <w:t>relaps</w:t>
                  </w:r>
                  <w:proofErr w:type="spellEnd"/>
                  <w:r w:rsidRPr="00000665">
                    <w:rPr>
                      <w:sz w:val="18"/>
                      <w:szCs w:val="18"/>
                      <w:lang w:val="tr-TR" w:eastAsia="tr-TR"/>
                    </w:rPr>
                    <w:t xml:space="preserve"> </w:t>
                  </w:r>
                  <w:proofErr w:type="spellStart"/>
                  <w:r w:rsidRPr="00000665">
                    <w:rPr>
                      <w:sz w:val="18"/>
                      <w:szCs w:val="18"/>
                      <w:lang w:val="tr-TR" w:eastAsia="tr-TR"/>
                    </w:rPr>
                    <w:t>malign</w:t>
                  </w:r>
                  <w:proofErr w:type="spellEnd"/>
                  <w:r w:rsidRPr="00000665">
                    <w:rPr>
                      <w:sz w:val="18"/>
                      <w:szCs w:val="18"/>
                      <w:lang w:val="tr-TR" w:eastAsia="tr-TR"/>
                    </w:rPr>
                    <w:t xml:space="preserve"> </w:t>
                  </w:r>
                  <w:proofErr w:type="spellStart"/>
                  <w:r w:rsidRPr="00000665">
                    <w:rPr>
                      <w:sz w:val="18"/>
                      <w:szCs w:val="18"/>
                      <w:lang w:val="tr-TR" w:eastAsia="tr-TR"/>
                    </w:rPr>
                    <w:t>melanom</w:t>
                  </w:r>
                  <w:proofErr w:type="spellEnd"/>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w:t>
                  </w:r>
                  <w:proofErr w:type="spellStart"/>
                  <w:r w:rsidRPr="00000665">
                    <w:rPr>
                      <w:sz w:val="18"/>
                      <w:szCs w:val="18"/>
                      <w:lang w:val="tr-TR" w:eastAsia="tr-TR"/>
                    </w:rPr>
                    <w:t>Metastatik</w:t>
                  </w:r>
                  <w:proofErr w:type="spellEnd"/>
                  <w:r w:rsidRPr="00000665">
                    <w:rPr>
                      <w:sz w:val="18"/>
                      <w:szCs w:val="18"/>
                      <w:lang w:val="tr-TR" w:eastAsia="tr-TR"/>
                    </w:rPr>
                    <w:t xml:space="preserve"> </w:t>
                  </w:r>
                  <w:proofErr w:type="spellStart"/>
                  <w:r w:rsidRPr="00000665">
                    <w:rPr>
                      <w:sz w:val="18"/>
                      <w:szCs w:val="18"/>
                      <w:lang w:val="tr-TR" w:eastAsia="tr-TR"/>
                    </w:rPr>
                    <w:t>malign</w:t>
                  </w:r>
                  <w:proofErr w:type="spellEnd"/>
                  <w:r w:rsidRPr="00000665">
                    <w:rPr>
                      <w:sz w:val="18"/>
                      <w:szCs w:val="18"/>
                      <w:lang w:val="tr-TR" w:eastAsia="tr-TR"/>
                    </w:rPr>
                    <w:t xml:space="preserve"> </w:t>
                  </w:r>
                  <w:proofErr w:type="spellStart"/>
                  <w:r w:rsidRPr="00000665">
                    <w:rPr>
                      <w:sz w:val="18"/>
                      <w:szCs w:val="18"/>
                      <w:lang w:val="tr-TR" w:eastAsia="tr-TR"/>
                    </w:rPr>
                    <w:t>melanom</w:t>
                  </w:r>
                  <w:proofErr w:type="spellEnd"/>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w:t>
                  </w:r>
                  <w:proofErr w:type="spellStart"/>
                  <w:r w:rsidRPr="00000665">
                    <w:rPr>
                      <w:sz w:val="18"/>
                      <w:szCs w:val="18"/>
                      <w:lang w:val="tr-TR" w:eastAsia="tr-TR"/>
                    </w:rPr>
                    <w:t>Progresyon</w:t>
                  </w:r>
                  <w:proofErr w:type="spellEnd"/>
                  <w:r w:rsidRPr="00000665">
                    <w:rPr>
                      <w:sz w:val="18"/>
                      <w:szCs w:val="18"/>
                      <w:lang w:val="tr-TR" w:eastAsia="tr-TR"/>
                    </w:rPr>
                    <w:t xml:space="preserve"> sonrası tek ajan olarak veya başka tedavilerle kombinasyon şeklinde kullanılamaz.</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3) Tıbbi onkoloji uzman hekiminin yer aldığı ve yukarıdaki durumların belirtildiği en fazla 6 ay süreli sağlık kurulu raporuna dayanılarak tıbbi onkoloji uzman hekimlerince reçete edilebilir.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4) </w:t>
                  </w:r>
                  <w:proofErr w:type="spellStart"/>
                  <w:r w:rsidRPr="00000665">
                    <w:rPr>
                      <w:sz w:val="18"/>
                      <w:szCs w:val="18"/>
                      <w:lang w:val="tr-TR" w:eastAsia="tr-TR"/>
                    </w:rPr>
                    <w:t>Dabrafenib</w:t>
                  </w:r>
                  <w:proofErr w:type="spellEnd"/>
                  <w:r w:rsidRPr="00000665">
                    <w:rPr>
                      <w:sz w:val="18"/>
                      <w:szCs w:val="18"/>
                      <w:lang w:val="tr-TR" w:eastAsia="tr-TR"/>
                    </w:rPr>
                    <w:t xml:space="preserve"> ve </w:t>
                  </w:r>
                  <w:proofErr w:type="spellStart"/>
                  <w:r w:rsidRPr="00000665">
                    <w:rPr>
                      <w:sz w:val="18"/>
                      <w:szCs w:val="18"/>
                      <w:lang w:val="tr-TR" w:eastAsia="tr-TR"/>
                    </w:rPr>
                    <w:t>vemurafenib</w:t>
                  </w:r>
                  <w:proofErr w:type="spellEnd"/>
                  <w:r w:rsidRPr="00000665">
                    <w:rPr>
                      <w:sz w:val="18"/>
                      <w:szCs w:val="18"/>
                      <w:lang w:val="tr-TR" w:eastAsia="tr-TR"/>
                    </w:rPr>
                    <w:t xml:space="preserve"> ardışık ya da kombine olarak kullanılamaz.</w:t>
                  </w:r>
                </w:p>
                <w:p w:rsidR="00000665" w:rsidRPr="00000665" w:rsidRDefault="00000665" w:rsidP="00000665">
                  <w:pPr>
                    <w:spacing w:before="100" w:beforeAutospacing="1" w:after="100" w:afterAutospacing="1" w:line="240" w:lineRule="exact"/>
                    <w:rPr>
                      <w:sz w:val="18"/>
                      <w:szCs w:val="18"/>
                      <w:lang w:val="tr-TR" w:eastAsia="tr-TR"/>
                    </w:rPr>
                  </w:pPr>
                  <w:proofErr w:type="spellStart"/>
                  <w:r w:rsidRPr="00000665">
                    <w:rPr>
                      <w:sz w:val="18"/>
                      <w:szCs w:val="18"/>
                      <w:lang w:val="tr-TR" w:eastAsia="tr-TR"/>
                    </w:rPr>
                    <w:t>aa</w:t>
                  </w:r>
                  <w:proofErr w:type="spellEnd"/>
                  <w:r w:rsidRPr="00000665">
                    <w:rPr>
                      <w:sz w:val="18"/>
                      <w:szCs w:val="18"/>
                      <w:lang w:val="tr-TR" w:eastAsia="tr-TR"/>
                    </w:rPr>
                    <w:t xml:space="preserve">) </w:t>
                  </w:r>
                  <w:proofErr w:type="spellStart"/>
                  <w:r w:rsidRPr="00000665">
                    <w:rPr>
                      <w:sz w:val="18"/>
                      <w:szCs w:val="18"/>
                      <w:lang w:val="tr-TR" w:eastAsia="tr-TR"/>
                    </w:rPr>
                    <w:t>Beksaroten</w:t>
                  </w:r>
                  <w:proofErr w:type="spellEnd"/>
                  <w:r w:rsidRPr="00000665">
                    <w:rPr>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En az bir sistemik tedaviye dirençli erişkin hastalarda ileri evre (EORCT evre IIB, III, IV) </w:t>
                  </w:r>
                  <w:proofErr w:type="spellStart"/>
                  <w:r w:rsidRPr="00000665">
                    <w:rPr>
                      <w:sz w:val="18"/>
                      <w:szCs w:val="18"/>
                      <w:lang w:val="tr-TR" w:eastAsia="tr-TR"/>
                    </w:rPr>
                    <w:t>kutanöz</w:t>
                  </w:r>
                  <w:proofErr w:type="spellEnd"/>
                  <w:r w:rsidRPr="00000665">
                    <w:rPr>
                      <w:sz w:val="18"/>
                      <w:szCs w:val="18"/>
                      <w:lang w:val="tr-TR" w:eastAsia="tr-TR"/>
                    </w:rPr>
                    <w:t xml:space="preserve"> T-hücreli </w:t>
                  </w:r>
                  <w:proofErr w:type="spellStart"/>
                  <w:r w:rsidRPr="00000665">
                    <w:rPr>
                      <w:sz w:val="18"/>
                      <w:szCs w:val="18"/>
                      <w:lang w:val="tr-TR" w:eastAsia="tr-TR"/>
                    </w:rPr>
                    <w:lastRenderedPageBreak/>
                    <w:t>lenfomanın</w:t>
                  </w:r>
                  <w:proofErr w:type="spellEnd"/>
                  <w:r w:rsidRPr="00000665">
                    <w:rPr>
                      <w:sz w:val="18"/>
                      <w:szCs w:val="18"/>
                      <w:lang w:val="tr-TR" w:eastAsia="tr-TR"/>
                    </w:rPr>
                    <w:t xml:space="preserve"> cilt bulgularının tedavisinde; tıbbi onkoloji, hematoloji veya dermatoloji uzman hekimlerinden en az birinin yer aldığı sağlık kurulu raporuna dayanılarak uzman hekimlerce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Bu grup hastalarda </w:t>
                  </w:r>
                  <w:proofErr w:type="spellStart"/>
                  <w:r w:rsidRPr="00000665">
                    <w:rPr>
                      <w:sz w:val="18"/>
                      <w:szCs w:val="18"/>
                      <w:lang w:val="tr-TR" w:eastAsia="tr-TR"/>
                    </w:rPr>
                    <w:t>lipid</w:t>
                  </w:r>
                  <w:proofErr w:type="spellEnd"/>
                  <w:r w:rsidRPr="00000665">
                    <w:rPr>
                      <w:sz w:val="18"/>
                      <w:szCs w:val="18"/>
                      <w:lang w:val="tr-TR" w:eastAsia="tr-TR"/>
                    </w:rPr>
                    <w:t xml:space="preserve"> düşürücü ilaç kullanılması gerektiğinde, bu durumun raporda belirtilmesi halinde  </w:t>
                  </w:r>
                  <w:proofErr w:type="spellStart"/>
                  <w:r w:rsidRPr="00000665">
                    <w:rPr>
                      <w:sz w:val="18"/>
                      <w:szCs w:val="18"/>
                      <w:lang w:val="tr-TR" w:eastAsia="tr-TR"/>
                    </w:rPr>
                    <w:t>SUT'un</w:t>
                  </w:r>
                  <w:proofErr w:type="spellEnd"/>
                  <w:r w:rsidRPr="00000665">
                    <w:rPr>
                      <w:sz w:val="18"/>
                      <w:szCs w:val="18"/>
                      <w:lang w:val="tr-TR" w:eastAsia="tr-TR"/>
                    </w:rPr>
                    <w:t xml:space="preserve"> “4.2.28- </w:t>
                  </w:r>
                  <w:proofErr w:type="spellStart"/>
                  <w:r w:rsidRPr="00000665">
                    <w:rPr>
                      <w:sz w:val="18"/>
                      <w:szCs w:val="18"/>
                      <w:lang w:val="tr-TR" w:eastAsia="tr-TR"/>
                    </w:rPr>
                    <w:t>Lipid</w:t>
                  </w:r>
                  <w:proofErr w:type="spellEnd"/>
                  <w:r w:rsidRPr="00000665">
                    <w:rPr>
                      <w:sz w:val="18"/>
                      <w:szCs w:val="18"/>
                      <w:lang w:val="tr-TR" w:eastAsia="tr-TR"/>
                    </w:rPr>
                    <w:t xml:space="preserve"> düşürücü ilaçların kullanım ilkeleri” maddesi koşulları aranmaz.</w:t>
                  </w:r>
                </w:p>
                <w:p w:rsidR="00000665" w:rsidRPr="00000665" w:rsidRDefault="00000665" w:rsidP="00000665">
                  <w:pPr>
                    <w:spacing w:before="100" w:beforeAutospacing="1" w:after="100" w:afterAutospacing="1" w:line="240" w:lineRule="exact"/>
                    <w:rPr>
                      <w:sz w:val="18"/>
                      <w:szCs w:val="18"/>
                      <w:lang w:val="tr-TR" w:eastAsia="tr-TR"/>
                    </w:rPr>
                  </w:pPr>
                  <w:proofErr w:type="spellStart"/>
                  <w:r w:rsidRPr="00000665">
                    <w:rPr>
                      <w:sz w:val="18"/>
                      <w:szCs w:val="18"/>
                      <w:lang w:val="tr-TR" w:eastAsia="tr-TR"/>
                    </w:rPr>
                    <w:t>bb</w:t>
                  </w:r>
                  <w:proofErr w:type="spellEnd"/>
                  <w:r w:rsidRPr="00000665">
                    <w:rPr>
                      <w:sz w:val="18"/>
                      <w:szCs w:val="18"/>
                      <w:lang w:val="tr-TR" w:eastAsia="tr-TR"/>
                    </w:rPr>
                    <w:t xml:space="preserve">) </w:t>
                  </w:r>
                  <w:proofErr w:type="spellStart"/>
                  <w:r w:rsidRPr="00000665">
                    <w:rPr>
                      <w:sz w:val="18"/>
                      <w:szCs w:val="18"/>
                      <w:lang w:val="tr-TR" w:eastAsia="tr-TR"/>
                    </w:rPr>
                    <w:t>Krizotinib</w:t>
                  </w:r>
                  <w:proofErr w:type="spellEnd"/>
                  <w:r w:rsidRPr="00000665">
                    <w:rPr>
                      <w:sz w:val="18"/>
                      <w:szCs w:val="18"/>
                      <w:lang w:val="tr-TR" w:eastAsia="tr-TR"/>
                    </w:rPr>
                    <w:t>; ALK (</w:t>
                  </w:r>
                  <w:proofErr w:type="spellStart"/>
                  <w:r w:rsidRPr="00000665">
                    <w:rPr>
                      <w:sz w:val="18"/>
                      <w:szCs w:val="18"/>
                      <w:lang w:val="tr-TR" w:eastAsia="tr-TR"/>
                    </w:rPr>
                    <w:t>Anaplastik</w:t>
                  </w:r>
                  <w:proofErr w:type="spellEnd"/>
                  <w:r w:rsidRPr="00000665">
                    <w:rPr>
                      <w:sz w:val="18"/>
                      <w:szCs w:val="18"/>
                      <w:lang w:val="tr-TR" w:eastAsia="tr-TR"/>
                    </w:rPr>
                    <w:t xml:space="preserve"> </w:t>
                  </w:r>
                  <w:proofErr w:type="spellStart"/>
                  <w:r w:rsidRPr="00000665">
                    <w:rPr>
                      <w:sz w:val="18"/>
                      <w:szCs w:val="18"/>
                      <w:lang w:val="tr-TR" w:eastAsia="tr-TR"/>
                    </w:rPr>
                    <w:t>Lenfoma</w:t>
                  </w:r>
                  <w:proofErr w:type="spellEnd"/>
                  <w:r w:rsidRPr="00000665">
                    <w:rPr>
                      <w:sz w:val="18"/>
                      <w:szCs w:val="18"/>
                      <w:lang w:val="tr-TR" w:eastAsia="tr-TR"/>
                    </w:rPr>
                    <w:t xml:space="preserve"> </w:t>
                  </w:r>
                  <w:proofErr w:type="spellStart"/>
                  <w:r w:rsidRPr="00000665">
                    <w:rPr>
                      <w:sz w:val="18"/>
                      <w:szCs w:val="18"/>
                      <w:lang w:val="tr-TR" w:eastAsia="tr-TR"/>
                    </w:rPr>
                    <w:t>Kinaz</w:t>
                  </w:r>
                  <w:proofErr w:type="spellEnd"/>
                  <w:r w:rsidRPr="00000665">
                    <w:rPr>
                      <w:sz w:val="18"/>
                      <w:szCs w:val="18"/>
                      <w:lang w:val="tr-TR" w:eastAsia="tr-TR"/>
                    </w:rPr>
                    <w:t xml:space="preserve">) pozitifliği FISH testi ile doğrulanmış, en az bir seri kemoterapi kullanmış ve sonrasında </w:t>
                  </w:r>
                  <w:proofErr w:type="spellStart"/>
                  <w:r w:rsidRPr="00000665">
                    <w:rPr>
                      <w:sz w:val="18"/>
                      <w:szCs w:val="18"/>
                      <w:lang w:val="tr-TR" w:eastAsia="tr-TR"/>
                    </w:rPr>
                    <w:t>progresyon</w:t>
                  </w:r>
                  <w:proofErr w:type="spellEnd"/>
                  <w:r w:rsidRPr="00000665">
                    <w:rPr>
                      <w:sz w:val="18"/>
                      <w:szCs w:val="18"/>
                      <w:lang w:val="tr-TR" w:eastAsia="tr-TR"/>
                    </w:rPr>
                    <w:t xml:space="preserve"> göstermiş </w:t>
                  </w:r>
                  <w:proofErr w:type="spellStart"/>
                  <w:r w:rsidRPr="00000665">
                    <w:rPr>
                      <w:sz w:val="18"/>
                      <w:szCs w:val="18"/>
                      <w:lang w:val="tr-TR" w:eastAsia="tr-TR"/>
                    </w:rPr>
                    <w:t>metastatik</w:t>
                  </w:r>
                  <w:proofErr w:type="spellEnd"/>
                  <w:r w:rsidRPr="00000665">
                    <w:rPr>
                      <w:sz w:val="18"/>
                      <w:szCs w:val="18"/>
                      <w:lang w:val="tr-TR" w:eastAsia="tr-TR"/>
                    </w:rPr>
                    <w:t xml:space="preserve"> </w:t>
                  </w:r>
                  <w:proofErr w:type="spellStart"/>
                  <w:r w:rsidRPr="00000665">
                    <w:rPr>
                      <w:sz w:val="18"/>
                      <w:szCs w:val="18"/>
                      <w:lang w:val="tr-TR" w:eastAsia="tr-TR"/>
                    </w:rPr>
                    <w:t>non</w:t>
                  </w:r>
                  <w:proofErr w:type="spellEnd"/>
                  <w:r w:rsidRPr="00000665">
                    <w:rPr>
                      <w:sz w:val="18"/>
                      <w:szCs w:val="18"/>
                      <w:lang w:val="tr-TR" w:eastAsia="tr-TR"/>
                    </w:rPr>
                    <w:t>-</w:t>
                  </w:r>
                  <w:proofErr w:type="spellStart"/>
                  <w:r w:rsidRPr="00000665">
                    <w:rPr>
                      <w:sz w:val="18"/>
                      <w:szCs w:val="18"/>
                      <w:lang w:val="tr-TR" w:eastAsia="tr-TR"/>
                    </w:rPr>
                    <w:t>squamöz</w:t>
                  </w:r>
                  <w:proofErr w:type="spellEnd"/>
                  <w:r w:rsidRPr="00000665">
                    <w:rPr>
                      <w:sz w:val="18"/>
                      <w:szCs w:val="18"/>
                      <w:lang w:val="tr-TR" w:eastAsia="tr-TR"/>
                    </w:rPr>
                    <w:t xml:space="preserve"> küçük hücreli dışı akciğer kanseri hastalarının tedavisinde, tıbbi onkoloji uzmanının yer aldığı 6 ay süreli sağlık kurulu raporuna dayanılarak tıbbi onkoloji uzmanı hekimlerince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13 –</w:t>
                  </w:r>
                  <w:r w:rsidRPr="00000665">
                    <w:rPr>
                      <w:sz w:val="18"/>
                      <w:szCs w:val="18"/>
                      <w:lang w:val="tr-TR" w:eastAsia="tr-TR"/>
                    </w:rPr>
                    <w:t xml:space="preserve"> Aynı Tebliğin 4.2.16  numaralı maddesinin ikinci fıkrasının (c) bendinde yer alan “(</w:t>
                  </w:r>
                  <w:proofErr w:type="spellStart"/>
                  <w:r w:rsidRPr="00000665">
                    <w:rPr>
                      <w:sz w:val="18"/>
                      <w:szCs w:val="18"/>
                      <w:lang w:val="tr-TR" w:eastAsia="tr-TR"/>
                    </w:rPr>
                    <w:t>yetmişiki</w:t>
                  </w:r>
                  <w:proofErr w:type="spellEnd"/>
                  <w:r w:rsidRPr="00000665">
                    <w:rPr>
                      <w:sz w:val="18"/>
                      <w:szCs w:val="18"/>
                      <w:lang w:val="tr-TR" w:eastAsia="tr-TR"/>
                    </w:rPr>
                    <w:t xml:space="preserve"> virgül elli) TL” ibaresi “(</w:t>
                  </w:r>
                  <w:proofErr w:type="spellStart"/>
                  <w:r w:rsidRPr="00000665">
                    <w:rPr>
                      <w:sz w:val="18"/>
                      <w:szCs w:val="18"/>
                      <w:lang w:val="tr-TR" w:eastAsia="tr-TR"/>
                    </w:rPr>
                    <w:t>yetmişyedi</w:t>
                  </w:r>
                  <w:proofErr w:type="spellEnd"/>
                  <w:r w:rsidRPr="00000665">
                    <w:rPr>
                      <w:sz w:val="18"/>
                      <w:szCs w:val="18"/>
                      <w:lang w:val="tr-TR" w:eastAsia="tr-TR"/>
                    </w:rPr>
                    <w:t xml:space="preserve"> virgül elli) TL”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14 –</w:t>
                  </w:r>
                  <w:r w:rsidRPr="00000665">
                    <w:rPr>
                      <w:sz w:val="18"/>
                      <w:szCs w:val="18"/>
                      <w:lang w:val="tr-TR" w:eastAsia="tr-TR"/>
                    </w:rPr>
                    <w:t xml:space="preserve"> Aynı Tebliğin 4.2.24.B  numaralı maddesinin birinci fıkrasında yer alan “</w:t>
                  </w:r>
                  <w:proofErr w:type="spellStart"/>
                  <w:r w:rsidRPr="00000665">
                    <w:rPr>
                      <w:sz w:val="18"/>
                      <w:szCs w:val="18"/>
                      <w:lang w:val="tr-TR" w:eastAsia="tr-TR"/>
                    </w:rPr>
                    <w:t>salmeterol</w:t>
                  </w:r>
                  <w:proofErr w:type="spellEnd"/>
                  <w:r w:rsidRPr="00000665">
                    <w:rPr>
                      <w:sz w:val="18"/>
                      <w:szCs w:val="18"/>
                      <w:lang w:val="tr-TR" w:eastAsia="tr-TR"/>
                    </w:rPr>
                    <w:t xml:space="preserve">” ibaresinden sonra gelmek üzere “, </w:t>
                  </w:r>
                  <w:proofErr w:type="spellStart"/>
                  <w:r w:rsidRPr="00000665">
                    <w:rPr>
                      <w:sz w:val="18"/>
                      <w:szCs w:val="18"/>
                      <w:lang w:val="tr-TR" w:eastAsia="tr-TR"/>
                    </w:rPr>
                    <w:t>indakaterol</w:t>
                  </w:r>
                  <w:proofErr w:type="spellEnd"/>
                  <w:r w:rsidRPr="00000665">
                    <w:rPr>
                      <w:sz w:val="18"/>
                      <w:szCs w:val="18"/>
                      <w:lang w:val="tr-TR" w:eastAsia="tr-TR"/>
                    </w:rPr>
                    <w:t>”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15 –</w:t>
                  </w:r>
                  <w:r w:rsidRPr="00000665">
                    <w:rPr>
                      <w:sz w:val="18"/>
                      <w:szCs w:val="18"/>
                      <w:lang w:val="tr-TR" w:eastAsia="tr-TR"/>
                    </w:rPr>
                    <w:t xml:space="preserve"> Aynı Tebliğin 4.2.30  numaralı maddesi başlığı ile </w:t>
                  </w:r>
                  <w:proofErr w:type="spellStart"/>
                  <w:r w:rsidRPr="00000665">
                    <w:rPr>
                      <w:sz w:val="18"/>
                      <w:szCs w:val="18"/>
                      <w:lang w:val="tr-TR" w:eastAsia="tr-TR"/>
                    </w:rPr>
                    <w:t>bereber</w:t>
                  </w:r>
                  <w:proofErr w:type="spellEnd"/>
                  <w:r w:rsidRPr="00000665">
                    <w:rPr>
                      <w:sz w:val="18"/>
                      <w:szCs w:val="18"/>
                      <w:lang w:val="tr-TR" w:eastAsia="tr-TR"/>
                    </w:rPr>
                    <w:t xml:space="preserve"> aşağıdaki şekilde değiştirilmiştir.</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“4.2.30 - </w:t>
                  </w:r>
                  <w:proofErr w:type="spellStart"/>
                  <w:r w:rsidRPr="00000665">
                    <w:rPr>
                      <w:b/>
                      <w:sz w:val="18"/>
                      <w:szCs w:val="18"/>
                      <w:lang w:val="tr-TR" w:eastAsia="tr-TR"/>
                    </w:rPr>
                    <w:t>Pulmoner</w:t>
                  </w:r>
                  <w:proofErr w:type="spellEnd"/>
                  <w:r w:rsidRPr="00000665">
                    <w:rPr>
                      <w:b/>
                      <w:sz w:val="18"/>
                      <w:szCs w:val="18"/>
                      <w:lang w:val="tr-TR" w:eastAsia="tr-TR"/>
                    </w:rPr>
                    <w:t xml:space="preserve"> hipertansiyon ile kronik </w:t>
                  </w:r>
                  <w:proofErr w:type="spellStart"/>
                  <w:r w:rsidRPr="00000665">
                    <w:rPr>
                      <w:b/>
                      <w:sz w:val="18"/>
                      <w:szCs w:val="18"/>
                      <w:lang w:val="tr-TR" w:eastAsia="tr-TR"/>
                    </w:rPr>
                    <w:t>tromboembolik</w:t>
                  </w:r>
                  <w:proofErr w:type="spellEnd"/>
                  <w:r w:rsidRPr="00000665">
                    <w:rPr>
                      <w:b/>
                      <w:sz w:val="18"/>
                      <w:szCs w:val="18"/>
                      <w:lang w:val="tr-TR" w:eastAsia="tr-TR"/>
                    </w:rPr>
                    <w:t xml:space="preserve"> </w:t>
                  </w:r>
                  <w:proofErr w:type="spellStart"/>
                  <w:r w:rsidRPr="00000665">
                    <w:rPr>
                      <w:b/>
                      <w:sz w:val="18"/>
                      <w:szCs w:val="18"/>
                      <w:lang w:val="tr-TR" w:eastAsia="tr-TR"/>
                    </w:rPr>
                    <w:t>pulmoner</w:t>
                  </w:r>
                  <w:proofErr w:type="spellEnd"/>
                  <w:r w:rsidRPr="00000665">
                    <w:rPr>
                      <w:b/>
                      <w:sz w:val="18"/>
                      <w:szCs w:val="18"/>
                      <w:lang w:val="tr-TR" w:eastAsia="tr-TR"/>
                    </w:rPr>
                    <w:t xml:space="preserve"> hipertansiyonda ilaç kullanım ilkeleri</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4.2.30. A- </w:t>
                  </w:r>
                  <w:proofErr w:type="spellStart"/>
                  <w:r w:rsidRPr="00000665">
                    <w:rPr>
                      <w:b/>
                      <w:sz w:val="18"/>
                      <w:szCs w:val="18"/>
                      <w:lang w:val="tr-TR" w:eastAsia="tr-TR"/>
                    </w:rPr>
                    <w:t>Pulmoner</w:t>
                  </w:r>
                  <w:proofErr w:type="spellEnd"/>
                  <w:r w:rsidRPr="00000665">
                    <w:rPr>
                      <w:b/>
                      <w:sz w:val="18"/>
                      <w:szCs w:val="18"/>
                      <w:lang w:val="tr-TR" w:eastAsia="tr-TR"/>
                    </w:rPr>
                    <w:t xml:space="preserve"> hipertansiyonda </w:t>
                  </w:r>
                  <w:proofErr w:type="spellStart"/>
                  <w:r w:rsidRPr="00000665">
                    <w:rPr>
                      <w:b/>
                      <w:sz w:val="18"/>
                      <w:szCs w:val="18"/>
                      <w:lang w:val="tr-TR" w:eastAsia="tr-TR"/>
                    </w:rPr>
                    <w:t>iloprost</w:t>
                  </w:r>
                  <w:proofErr w:type="spellEnd"/>
                  <w:r w:rsidRPr="00000665">
                    <w:rPr>
                      <w:b/>
                      <w:sz w:val="18"/>
                      <w:szCs w:val="18"/>
                      <w:lang w:val="tr-TR" w:eastAsia="tr-TR"/>
                    </w:rPr>
                    <w:t xml:space="preserve"> </w:t>
                  </w:r>
                  <w:proofErr w:type="spellStart"/>
                  <w:r w:rsidRPr="00000665">
                    <w:rPr>
                      <w:b/>
                      <w:sz w:val="18"/>
                      <w:szCs w:val="18"/>
                      <w:lang w:val="tr-TR" w:eastAsia="tr-TR"/>
                    </w:rPr>
                    <w:t>trometamol</w:t>
                  </w:r>
                  <w:proofErr w:type="spellEnd"/>
                  <w:r w:rsidRPr="00000665">
                    <w:rPr>
                      <w:b/>
                      <w:sz w:val="18"/>
                      <w:szCs w:val="18"/>
                      <w:lang w:val="tr-TR" w:eastAsia="tr-TR"/>
                    </w:rPr>
                    <w:t xml:space="preserve"> (</w:t>
                  </w:r>
                  <w:proofErr w:type="spellStart"/>
                  <w:r w:rsidRPr="00000665">
                    <w:rPr>
                      <w:b/>
                      <w:sz w:val="18"/>
                      <w:szCs w:val="18"/>
                      <w:lang w:val="tr-TR" w:eastAsia="tr-TR"/>
                    </w:rPr>
                    <w:t>inhaler</w:t>
                  </w:r>
                  <w:proofErr w:type="spellEnd"/>
                  <w:r w:rsidRPr="00000665">
                    <w:rPr>
                      <w:b/>
                      <w:sz w:val="18"/>
                      <w:szCs w:val="18"/>
                      <w:lang w:val="tr-TR" w:eastAsia="tr-TR"/>
                    </w:rPr>
                    <w:t xml:space="preserve"> formu), </w:t>
                  </w:r>
                  <w:proofErr w:type="spellStart"/>
                  <w:r w:rsidRPr="00000665">
                    <w:rPr>
                      <w:b/>
                      <w:sz w:val="18"/>
                      <w:szCs w:val="18"/>
                      <w:lang w:val="tr-TR" w:eastAsia="tr-TR"/>
                    </w:rPr>
                    <w:t>bosentan</w:t>
                  </w:r>
                  <w:proofErr w:type="spellEnd"/>
                  <w:r w:rsidRPr="00000665">
                    <w:rPr>
                      <w:b/>
                      <w:sz w:val="18"/>
                      <w:szCs w:val="18"/>
                      <w:lang w:val="tr-TR" w:eastAsia="tr-TR"/>
                    </w:rPr>
                    <w:t xml:space="preserve">, </w:t>
                  </w:r>
                  <w:proofErr w:type="spellStart"/>
                  <w:r w:rsidRPr="00000665">
                    <w:rPr>
                      <w:b/>
                      <w:sz w:val="18"/>
                      <w:szCs w:val="18"/>
                      <w:lang w:val="tr-TR" w:eastAsia="tr-TR"/>
                    </w:rPr>
                    <w:t>sildenafil</w:t>
                  </w:r>
                  <w:proofErr w:type="spellEnd"/>
                  <w:r w:rsidRPr="00000665">
                    <w:rPr>
                      <w:b/>
                      <w:sz w:val="18"/>
                      <w:szCs w:val="18"/>
                      <w:lang w:val="tr-TR" w:eastAsia="tr-TR"/>
                    </w:rPr>
                    <w:t xml:space="preserve">, </w:t>
                  </w:r>
                  <w:proofErr w:type="spellStart"/>
                  <w:r w:rsidRPr="00000665">
                    <w:rPr>
                      <w:b/>
                      <w:sz w:val="18"/>
                      <w:szCs w:val="18"/>
                      <w:lang w:val="tr-TR" w:eastAsia="tr-TR"/>
                    </w:rPr>
                    <w:t>tadalafil</w:t>
                  </w:r>
                  <w:proofErr w:type="spellEnd"/>
                  <w:r w:rsidRPr="00000665">
                    <w:rPr>
                      <w:b/>
                      <w:sz w:val="18"/>
                      <w:szCs w:val="18"/>
                      <w:lang w:val="tr-TR" w:eastAsia="tr-TR"/>
                    </w:rPr>
                    <w:t xml:space="preserve"> ve </w:t>
                  </w:r>
                  <w:proofErr w:type="spellStart"/>
                  <w:r w:rsidRPr="00000665">
                    <w:rPr>
                      <w:b/>
                      <w:sz w:val="18"/>
                      <w:szCs w:val="18"/>
                      <w:lang w:val="tr-TR" w:eastAsia="tr-TR"/>
                    </w:rPr>
                    <w:t>ambrisentan</w:t>
                  </w:r>
                  <w:proofErr w:type="spellEnd"/>
                  <w:r w:rsidRPr="00000665">
                    <w:rPr>
                      <w:b/>
                      <w:sz w:val="18"/>
                      <w:szCs w:val="18"/>
                      <w:lang w:val="tr-TR" w:eastAsia="tr-TR"/>
                    </w:rPr>
                    <w:t xml:space="preserve"> kullanım ilkeleri</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w:t>
                  </w:r>
                  <w:proofErr w:type="spellStart"/>
                  <w:r w:rsidRPr="00000665">
                    <w:rPr>
                      <w:sz w:val="18"/>
                      <w:szCs w:val="18"/>
                      <w:lang w:val="tr-TR" w:eastAsia="tr-TR"/>
                    </w:rPr>
                    <w:t>Pulmoner</w:t>
                  </w:r>
                  <w:proofErr w:type="spellEnd"/>
                  <w:r w:rsidRPr="00000665">
                    <w:rPr>
                      <w:sz w:val="18"/>
                      <w:szCs w:val="18"/>
                      <w:lang w:val="tr-TR" w:eastAsia="tr-TR"/>
                    </w:rPr>
                    <w:t xml:space="preserve"> hipertansiyonda hastaların;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Fonksiyonel kapasitelerinin NHYA sınıf II, III veya IV olması,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w:t>
                  </w:r>
                  <w:proofErr w:type="spellStart"/>
                  <w:r w:rsidRPr="00000665">
                    <w:rPr>
                      <w:sz w:val="18"/>
                      <w:szCs w:val="18"/>
                      <w:lang w:val="tr-TR" w:eastAsia="tr-TR"/>
                    </w:rPr>
                    <w:t>Vazoreaktivite</w:t>
                  </w:r>
                  <w:proofErr w:type="spellEnd"/>
                  <w:r w:rsidRPr="00000665">
                    <w:rPr>
                      <w:sz w:val="18"/>
                      <w:szCs w:val="18"/>
                      <w:lang w:val="tr-TR" w:eastAsia="tr-TR"/>
                    </w:rPr>
                    <w:t xml:space="preserve"> testinin negatif olması,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c) Üçüncü aylık tedavi sonrası kontrolünde klinik efor kapasitesi (6 dakika yürüme testi veya </w:t>
                  </w:r>
                  <w:proofErr w:type="spellStart"/>
                  <w:r w:rsidRPr="00000665">
                    <w:rPr>
                      <w:sz w:val="18"/>
                      <w:szCs w:val="18"/>
                      <w:lang w:val="tr-TR" w:eastAsia="tr-TR"/>
                    </w:rPr>
                    <w:t>treadmil</w:t>
                  </w:r>
                  <w:proofErr w:type="spellEnd"/>
                  <w:r w:rsidRPr="00000665">
                    <w:rPr>
                      <w:sz w:val="18"/>
                      <w:szCs w:val="18"/>
                      <w:lang w:val="tr-TR" w:eastAsia="tr-TR"/>
                    </w:rPr>
                    <w:t xml:space="preserve"> efor testi), </w:t>
                  </w:r>
                  <w:proofErr w:type="spellStart"/>
                  <w:r w:rsidRPr="00000665">
                    <w:rPr>
                      <w:sz w:val="18"/>
                      <w:szCs w:val="18"/>
                      <w:lang w:val="tr-TR" w:eastAsia="tr-TR"/>
                    </w:rPr>
                    <w:t>hemodinami</w:t>
                  </w:r>
                  <w:proofErr w:type="spellEnd"/>
                  <w:r w:rsidRPr="00000665">
                    <w:rPr>
                      <w:sz w:val="18"/>
                      <w:szCs w:val="18"/>
                      <w:lang w:val="tr-TR" w:eastAsia="tr-TR"/>
                    </w:rPr>
                    <w:t xml:space="preserve"> veya </w:t>
                  </w:r>
                  <w:proofErr w:type="spellStart"/>
                  <w:r w:rsidRPr="00000665">
                    <w:rPr>
                      <w:sz w:val="18"/>
                      <w:szCs w:val="18"/>
                      <w:lang w:val="tr-TR" w:eastAsia="tr-TR"/>
                    </w:rPr>
                    <w:t>ekokardiyografik</w:t>
                  </w:r>
                  <w:proofErr w:type="spellEnd"/>
                  <w:r w:rsidRPr="00000665">
                    <w:rPr>
                      <w:sz w:val="18"/>
                      <w:szCs w:val="18"/>
                      <w:lang w:val="tr-TR" w:eastAsia="tr-TR"/>
                    </w:rPr>
                    <w:t xml:space="preserve"> verilerinde düzelme olması veya stabil kalması,</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gerekmektedir.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Üçüncü ay kontrolünde </w:t>
                  </w:r>
                  <w:proofErr w:type="spellStart"/>
                  <w:r w:rsidRPr="00000665">
                    <w:rPr>
                      <w:sz w:val="18"/>
                      <w:szCs w:val="18"/>
                      <w:lang w:val="tr-TR" w:eastAsia="tr-TR"/>
                    </w:rPr>
                    <w:t>Pulmoner</w:t>
                  </w:r>
                  <w:proofErr w:type="spellEnd"/>
                  <w:r w:rsidRPr="00000665">
                    <w:rPr>
                      <w:sz w:val="18"/>
                      <w:szCs w:val="18"/>
                      <w:lang w:val="tr-TR" w:eastAsia="tr-TR"/>
                    </w:rPr>
                    <w:t xml:space="preserve"> </w:t>
                  </w:r>
                  <w:proofErr w:type="spellStart"/>
                  <w:r w:rsidRPr="00000665">
                    <w:rPr>
                      <w:sz w:val="18"/>
                      <w:szCs w:val="18"/>
                      <w:lang w:val="tr-TR" w:eastAsia="tr-TR"/>
                    </w:rPr>
                    <w:t>Arteryel</w:t>
                  </w:r>
                  <w:proofErr w:type="spellEnd"/>
                  <w:r w:rsidRPr="00000665">
                    <w:rPr>
                      <w:sz w:val="18"/>
                      <w:szCs w:val="18"/>
                      <w:lang w:val="tr-TR" w:eastAsia="tr-TR"/>
                    </w:rPr>
                    <w:t xml:space="preserve"> Basınçta (PAB) azalma olmaması (</w:t>
                  </w:r>
                  <w:proofErr w:type="spellStart"/>
                  <w:r w:rsidRPr="00000665">
                    <w:rPr>
                      <w:sz w:val="18"/>
                      <w:szCs w:val="18"/>
                      <w:lang w:val="tr-TR" w:eastAsia="tr-TR"/>
                    </w:rPr>
                    <w:t>PAB'ın</w:t>
                  </w:r>
                  <w:proofErr w:type="spellEnd"/>
                  <w:r w:rsidRPr="00000665">
                    <w:rPr>
                      <w:sz w:val="18"/>
                      <w:szCs w:val="18"/>
                      <w:lang w:val="tr-TR" w:eastAsia="tr-TR"/>
                    </w:rPr>
                    <w:t xml:space="preserve"> değişmemesi veya artması) halinde ve yukarıdaki verilerde düzelme olmaması halinde kombinasyon tedavilerine geçilebilir. Kombine tedaviye geçildikten sonra başlangıç kriterleri ve </w:t>
                  </w:r>
                  <w:proofErr w:type="spellStart"/>
                  <w:r w:rsidRPr="00000665">
                    <w:rPr>
                      <w:sz w:val="18"/>
                      <w:szCs w:val="18"/>
                      <w:lang w:val="tr-TR" w:eastAsia="tr-TR"/>
                    </w:rPr>
                    <w:t>PAB’da</w:t>
                  </w:r>
                  <w:proofErr w:type="spellEnd"/>
                  <w:r w:rsidRPr="00000665">
                    <w:rPr>
                      <w:sz w:val="18"/>
                      <w:szCs w:val="18"/>
                      <w:lang w:val="tr-TR" w:eastAsia="tr-TR"/>
                    </w:rPr>
                    <w:t xml:space="preserve"> azalma olması şartı aranmaz.</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(3) Uygulanacak tedavi üçer aylık periyotlar halinde yukarıda açıklanan hususlar doğrultusunda sağlık kurulu raporunda belgelenecektir.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(4) İlgili ilaçlar kardiyoloji, kalp damar cerrahisi, göğüs hastalıkları, çocuk kardiyolojisi uzman hekimlerinden birinin yer aldığı sağlık kurulu raporuna dayanarak adı geçen hekimlerce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(5) Bağ dokusu hastalıklarına (</w:t>
                  </w:r>
                  <w:proofErr w:type="spellStart"/>
                  <w:r w:rsidRPr="00000665">
                    <w:rPr>
                      <w:sz w:val="18"/>
                      <w:szCs w:val="18"/>
                      <w:lang w:val="tr-TR" w:eastAsia="tr-TR"/>
                    </w:rPr>
                    <w:t>skleroderma</w:t>
                  </w:r>
                  <w:proofErr w:type="spellEnd"/>
                  <w:r w:rsidRPr="00000665">
                    <w:rPr>
                      <w:sz w:val="18"/>
                      <w:szCs w:val="18"/>
                      <w:lang w:val="tr-TR" w:eastAsia="tr-TR"/>
                    </w:rPr>
                    <w:t xml:space="preserve"> gibi) </w:t>
                  </w:r>
                  <w:proofErr w:type="spellStart"/>
                  <w:r w:rsidRPr="00000665">
                    <w:rPr>
                      <w:sz w:val="18"/>
                      <w:szCs w:val="18"/>
                      <w:lang w:val="tr-TR" w:eastAsia="tr-TR"/>
                    </w:rPr>
                    <w:t>sekonder</w:t>
                  </w:r>
                  <w:proofErr w:type="spellEnd"/>
                  <w:r w:rsidRPr="00000665">
                    <w:rPr>
                      <w:sz w:val="18"/>
                      <w:szCs w:val="18"/>
                      <w:lang w:val="tr-TR" w:eastAsia="tr-TR"/>
                    </w:rPr>
                    <w:t xml:space="preserve"> </w:t>
                  </w:r>
                  <w:proofErr w:type="spellStart"/>
                  <w:r w:rsidRPr="00000665">
                    <w:rPr>
                      <w:sz w:val="18"/>
                      <w:szCs w:val="18"/>
                      <w:lang w:val="tr-TR" w:eastAsia="tr-TR"/>
                    </w:rPr>
                    <w:t>pulmoner</w:t>
                  </w:r>
                  <w:proofErr w:type="spellEnd"/>
                  <w:r w:rsidRPr="00000665">
                    <w:rPr>
                      <w:sz w:val="18"/>
                      <w:szCs w:val="18"/>
                      <w:lang w:val="tr-TR" w:eastAsia="tr-TR"/>
                    </w:rPr>
                    <w:t xml:space="preserve"> hipertansiyon hastalarında yukarıdaki uzman hekimlerden birinin yer aldığı sağlık kurulu raporuna istinaden bu hekimler veya </w:t>
                  </w:r>
                  <w:proofErr w:type="spellStart"/>
                  <w:r w:rsidRPr="00000665">
                    <w:rPr>
                      <w:sz w:val="18"/>
                      <w:szCs w:val="18"/>
                      <w:lang w:val="tr-TR" w:eastAsia="tr-TR"/>
                    </w:rPr>
                    <w:t>romatoloji</w:t>
                  </w:r>
                  <w:proofErr w:type="spellEnd"/>
                  <w:r w:rsidRPr="00000665">
                    <w:rPr>
                      <w:sz w:val="18"/>
                      <w:szCs w:val="18"/>
                      <w:lang w:val="tr-TR" w:eastAsia="tr-TR"/>
                    </w:rPr>
                    <w:t xml:space="preserve"> ile klinik </w:t>
                  </w:r>
                  <w:proofErr w:type="spellStart"/>
                  <w:r w:rsidRPr="00000665">
                    <w:rPr>
                      <w:sz w:val="18"/>
                      <w:szCs w:val="18"/>
                      <w:lang w:val="tr-TR" w:eastAsia="tr-TR"/>
                    </w:rPr>
                    <w:t>immunoloji</w:t>
                  </w:r>
                  <w:proofErr w:type="spellEnd"/>
                  <w:r w:rsidRPr="00000665">
                    <w:rPr>
                      <w:sz w:val="18"/>
                      <w:szCs w:val="18"/>
                      <w:lang w:val="tr-TR" w:eastAsia="tr-TR"/>
                    </w:rPr>
                    <w:t xml:space="preserve"> uzman hekimleri tarafından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(6) </w:t>
                  </w:r>
                  <w:proofErr w:type="spellStart"/>
                  <w:r w:rsidRPr="00000665">
                    <w:rPr>
                      <w:sz w:val="18"/>
                      <w:szCs w:val="18"/>
                      <w:lang w:val="tr-TR" w:eastAsia="tr-TR"/>
                    </w:rPr>
                    <w:t>Bosentan</w:t>
                  </w:r>
                  <w:proofErr w:type="spellEnd"/>
                  <w:r w:rsidRPr="00000665">
                    <w:rPr>
                      <w:sz w:val="18"/>
                      <w:szCs w:val="18"/>
                      <w:lang w:val="tr-TR" w:eastAsia="tr-TR"/>
                    </w:rPr>
                    <w:t xml:space="preserve"> ve </w:t>
                  </w:r>
                  <w:proofErr w:type="spellStart"/>
                  <w:r w:rsidRPr="00000665">
                    <w:rPr>
                      <w:sz w:val="18"/>
                      <w:szCs w:val="18"/>
                      <w:lang w:val="tr-TR" w:eastAsia="tr-TR"/>
                    </w:rPr>
                    <w:t>ambrisentan</w:t>
                  </w:r>
                  <w:proofErr w:type="spellEnd"/>
                  <w:r w:rsidRPr="00000665">
                    <w:rPr>
                      <w:sz w:val="18"/>
                      <w:szCs w:val="18"/>
                      <w:lang w:val="tr-TR" w:eastAsia="tr-TR"/>
                    </w:rPr>
                    <w:t xml:space="preserve"> kombine kullanılamaz.</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(7) </w:t>
                  </w:r>
                  <w:proofErr w:type="spellStart"/>
                  <w:r w:rsidRPr="00000665">
                    <w:rPr>
                      <w:sz w:val="18"/>
                      <w:szCs w:val="18"/>
                      <w:lang w:val="tr-TR" w:eastAsia="tr-TR"/>
                    </w:rPr>
                    <w:t>Sildenafil</w:t>
                  </w:r>
                  <w:proofErr w:type="spellEnd"/>
                  <w:r w:rsidRPr="00000665">
                    <w:rPr>
                      <w:sz w:val="18"/>
                      <w:szCs w:val="18"/>
                      <w:lang w:val="tr-TR" w:eastAsia="tr-TR"/>
                    </w:rPr>
                    <w:t xml:space="preserve"> ve </w:t>
                  </w:r>
                  <w:proofErr w:type="spellStart"/>
                  <w:r w:rsidRPr="00000665">
                    <w:rPr>
                      <w:sz w:val="18"/>
                      <w:szCs w:val="18"/>
                      <w:lang w:val="tr-TR" w:eastAsia="tr-TR"/>
                    </w:rPr>
                    <w:t>tadalafil</w:t>
                  </w:r>
                  <w:proofErr w:type="spellEnd"/>
                  <w:r w:rsidRPr="00000665">
                    <w:rPr>
                      <w:sz w:val="18"/>
                      <w:szCs w:val="18"/>
                      <w:lang w:val="tr-TR" w:eastAsia="tr-TR"/>
                    </w:rPr>
                    <w:t xml:space="preserve"> kombine kullanılamaz.</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4.2.30. B- Kronik </w:t>
                  </w:r>
                  <w:proofErr w:type="spellStart"/>
                  <w:r w:rsidRPr="00000665">
                    <w:rPr>
                      <w:b/>
                      <w:sz w:val="18"/>
                      <w:szCs w:val="18"/>
                      <w:lang w:val="tr-TR" w:eastAsia="tr-TR"/>
                    </w:rPr>
                    <w:t>tromboembolik</w:t>
                  </w:r>
                  <w:proofErr w:type="spellEnd"/>
                  <w:r w:rsidRPr="00000665">
                    <w:rPr>
                      <w:b/>
                      <w:sz w:val="18"/>
                      <w:szCs w:val="18"/>
                      <w:lang w:val="tr-TR" w:eastAsia="tr-TR"/>
                    </w:rPr>
                    <w:t xml:space="preserve"> </w:t>
                  </w:r>
                  <w:proofErr w:type="spellStart"/>
                  <w:r w:rsidRPr="00000665">
                    <w:rPr>
                      <w:b/>
                      <w:sz w:val="18"/>
                      <w:szCs w:val="18"/>
                      <w:lang w:val="tr-TR" w:eastAsia="tr-TR"/>
                    </w:rPr>
                    <w:t>pulmoner</w:t>
                  </w:r>
                  <w:proofErr w:type="spellEnd"/>
                  <w:r w:rsidRPr="00000665">
                    <w:rPr>
                      <w:b/>
                      <w:sz w:val="18"/>
                      <w:szCs w:val="18"/>
                      <w:lang w:val="tr-TR" w:eastAsia="tr-TR"/>
                    </w:rPr>
                    <w:t xml:space="preserve"> hipertansiyonda (KTEPH, Dünya Sağlık Örgütü (DSÖ) Grup 4) </w:t>
                  </w:r>
                  <w:proofErr w:type="spellStart"/>
                  <w:r w:rsidRPr="00000665">
                    <w:rPr>
                      <w:b/>
                      <w:sz w:val="18"/>
                      <w:szCs w:val="18"/>
                      <w:lang w:val="tr-TR" w:eastAsia="tr-TR"/>
                    </w:rPr>
                    <w:lastRenderedPageBreak/>
                    <w:t>riosiguat</w:t>
                  </w:r>
                  <w:proofErr w:type="spellEnd"/>
                  <w:r w:rsidRPr="00000665">
                    <w:rPr>
                      <w:b/>
                      <w:sz w:val="18"/>
                      <w:szCs w:val="18"/>
                      <w:lang w:val="tr-TR" w:eastAsia="tr-TR"/>
                    </w:rPr>
                    <w:t xml:space="preserve"> kullanım ilkeleri</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w:t>
                  </w:r>
                  <w:proofErr w:type="spellStart"/>
                  <w:r w:rsidRPr="00000665">
                    <w:rPr>
                      <w:sz w:val="18"/>
                      <w:szCs w:val="18"/>
                      <w:lang w:val="tr-TR" w:eastAsia="tr-TR"/>
                    </w:rPr>
                    <w:t>Riosiguat</w:t>
                  </w:r>
                  <w:proofErr w:type="spellEnd"/>
                  <w:r w:rsidRPr="00000665">
                    <w:rPr>
                      <w:sz w:val="18"/>
                      <w:szCs w:val="18"/>
                      <w:lang w:val="tr-TR" w:eastAsia="tr-TR"/>
                    </w:rPr>
                    <w:t xml:space="preserve">; yalnızca </w:t>
                  </w:r>
                  <w:proofErr w:type="spellStart"/>
                  <w:r w:rsidRPr="00000665">
                    <w:rPr>
                      <w:sz w:val="18"/>
                      <w:szCs w:val="18"/>
                      <w:lang w:val="tr-TR" w:eastAsia="tr-TR"/>
                    </w:rPr>
                    <w:t>inoperabl</w:t>
                  </w:r>
                  <w:proofErr w:type="spellEnd"/>
                  <w:r w:rsidRPr="00000665">
                    <w:rPr>
                      <w:sz w:val="18"/>
                      <w:szCs w:val="18"/>
                      <w:lang w:val="tr-TR" w:eastAsia="tr-TR"/>
                    </w:rPr>
                    <w:t xml:space="preserve"> veya cerrahi tedavi sonrasında dirençli/nükseden </w:t>
                  </w:r>
                  <w:proofErr w:type="spellStart"/>
                  <w:r w:rsidRPr="00000665">
                    <w:rPr>
                      <w:sz w:val="18"/>
                      <w:szCs w:val="18"/>
                      <w:lang w:val="tr-TR" w:eastAsia="tr-TR"/>
                    </w:rPr>
                    <w:t>KTEPH'li</w:t>
                  </w:r>
                  <w:proofErr w:type="spellEnd"/>
                  <w:r w:rsidRPr="00000665">
                    <w:rPr>
                      <w:sz w:val="18"/>
                      <w:szCs w:val="18"/>
                      <w:lang w:val="tr-TR" w:eastAsia="tr-TR"/>
                    </w:rPr>
                    <w:t xml:space="preserve"> erişkin hastalardan;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w:t>
                  </w:r>
                  <w:proofErr w:type="spellStart"/>
                  <w:r w:rsidRPr="00000665">
                    <w:rPr>
                      <w:sz w:val="18"/>
                      <w:szCs w:val="18"/>
                      <w:lang w:val="tr-TR" w:eastAsia="tr-TR"/>
                    </w:rPr>
                    <w:t>Ventilasyon</w:t>
                  </w:r>
                  <w:proofErr w:type="spellEnd"/>
                  <w:r w:rsidRPr="00000665">
                    <w:rPr>
                      <w:sz w:val="18"/>
                      <w:szCs w:val="18"/>
                      <w:lang w:val="tr-TR" w:eastAsia="tr-TR"/>
                    </w:rPr>
                    <w:t xml:space="preserve"> </w:t>
                  </w:r>
                  <w:proofErr w:type="spellStart"/>
                  <w:r w:rsidRPr="00000665">
                    <w:rPr>
                      <w:sz w:val="18"/>
                      <w:szCs w:val="18"/>
                      <w:lang w:val="tr-TR" w:eastAsia="tr-TR"/>
                    </w:rPr>
                    <w:t>perfüzyon</w:t>
                  </w:r>
                  <w:proofErr w:type="spellEnd"/>
                  <w:r w:rsidRPr="00000665">
                    <w:rPr>
                      <w:sz w:val="18"/>
                      <w:szCs w:val="18"/>
                      <w:lang w:val="tr-TR" w:eastAsia="tr-TR"/>
                    </w:rPr>
                    <w:t xml:space="preserve"> sintigrafisi, </w:t>
                  </w:r>
                  <w:proofErr w:type="spellStart"/>
                  <w:r w:rsidRPr="00000665">
                    <w:rPr>
                      <w:sz w:val="18"/>
                      <w:szCs w:val="18"/>
                      <w:lang w:val="tr-TR" w:eastAsia="tr-TR"/>
                    </w:rPr>
                    <w:t>pulmoner</w:t>
                  </w:r>
                  <w:proofErr w:type="spellEnd"/>
                  <w:r w:rsidRPr="00000665">
                    <w:rPr>
                      <w:sz w:val="18"/>
                      <w:szCs w:val="18"/>
                      <w:lang w:val="tr-TR" w:eastAsia="tr-TR"/>
                    </w:rPr>
                    <w:t xml:space="preserve"> anjiyografi, çok kesitli spiral BT anjiyografi veya manyetik rezonans anjiyografi yöntemlerinden en az ikisi ile </w:t>
                  </w:r>
                  <w:proofErr w:type="spellStart"/>
                  <w:r w:rsidRPr="00000665">
                    <w:rPr>
                      <w:sz w:val="18"/>
                      <w:szCs w:val="18"/>
                      <w:lang w:val="tr-TR" w:eastAsia="tr-TR"/>
                    </w:rPr>
                    <w:t>tromboemboli</w:t>
                  </w:r>
                  <w:proofErr w:type="spellEnd"/>
                  <w:r w:rsidRPr="00000665">
                    <w:rPr>
                      <w:sz w:val="18"/>
                      <w:szCs w:val="18"/>
                      <w:lang w:val="tr-TR" w:eastAsia="tr-TR"/>
                    </w:rPr>
                    <w:t xml:space="preserve"> tanısı konulmuş ve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Sağ kalp </w:t>
                  </w:r>
                  <w:proofErr w:type="spellStart"/>
                  <w:r w:rsidRPr="00000665">
                    <w:rPr>
                      <w:sz w:val="18"/>
                      <w:szCs w:val="18"/>
                      <w:lang w:val="tr-TR" w:eastAsia="tr-TR"/>
                    </w:rPr>
                    <w:t>kateterizasyonu</w:t>
                  </w:r>
                  <w:proofErr w:type="spellEnd"/>
                  <w:r w:rsidRPr="00000665">
                    <w:rPr>
                      <w:sz w:val="18"/>
                      <w:szCs w:val="18"/>
                      <w:lang w:val="tr-TR" w:eastAsia="tr-TR"/>
                    </w:rPr>
                    <w:t xml:space="preserve"> ile ortalama PAB değeri 25 </w:t>
                  </w:r>
                  <w:proofErr w:type="spellStart"/>
                  <w:r w:rsidRPr="00000665">
                    <w:rPr>
                      <w:sz w:val="18"/>
                      <w:szCs w:val="18"/>
                      <w:lang w:val="tr-TR" w:eastAsia="tr-TR"/>
                    </w:rPr>
                    <w:t>mmHg</w:t>
                  </w:r>
                  <w:proofErr w:type="spellEnd"/>
                  <w:r w:rsidRPr="00000665">
                    <w:rPr>
                      <w:sz w:val="18"/>
                      <w:szCs w:val="18"/>
                      <w:lang w:val="tr-TR" w:eastAsia="tr-TR"/>
                    </w:rPr>
                    <w:t xml:space="preserve"> ve üzerinde olan ve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c)  En az 3 aylık </w:t>
                  </w:r>
                  <w:proofErr w:type="spellStart"/>
                  <w:r w:rsidRPr="00000665">
                    <w:rPr>
                      <w:sz w:val="18"/>
                      <w:szCs w:val="18"/>
                      <w:lang w:val="tr-TR" w:eastAsia="tr-TR"/>
                    </w:rPr>
                    <w:t>antikoagülan</w:t>
                  </w:r>
                  <w:proofErr w:type="spellEnd"/>
                  <w:r w:rsidRPr="00000665">
                    <w:rPr>
                      <w:sz w:val="18"/>
                      <w:szCs w:val="18"/>
                      <w:lang w:val="tr-TR" w:eastAsia="tr-TR"/>
                    </w:rPr>
                    <w:t xml:space="preserve"> tedavisi sonrasında ortalama PAB değerinde bir düşüş olmayanlarda kullanılır.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(2) Üçüncü basamak sağlık tesislerinde bu durumların belirtildiği ve en az birinin göğüs cerrahisi veya kalp damar cerrahisi uzman hekimi olması koşuluyla, kardiyoloji, göğüs hastalıkları, göğüs cerrahisi veya kalp damar cerrahisi uzman hekimlerinden en az üçünün bulunduğu üç ay süreli sağlık kurulu raporuna dayanılarak yine bu hekimlerce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(3) Her üç aylık tedavi sonunda egzersiz kapasitesinde (6 dakika yürüme testi) düzelme olması veya DSÖ fonksiyonel sınıfında iyileşme olması halinde tedaviye devam edilir. Bu durumların belirtileceği devam raporlarında ayrıca başlangıç kriterleri aranmaz.</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MADDE 16 – </w:t>
                  </w:r>
                  <w:r w:rsidRPr="00000665">
                    <w:rPr>
                      <w:sz w:val="18"/>
                      <w:szCs w:val="18"/>
                      <w:lang w:val="tr-TR" w:eastAsia="tr-TR"/>
                    </w:rPr>
                    <w:t>Aynı Tebliğin 4.2.33 numaralı maddesinde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4.2.33.A  numaralı alt maddesinin birinci fıkrasının birinci cümlesinde yer alan “</w:t>
                  </w:r>
                  <w:proofErr w:type="spellStart"/>
                  <w:r w:rsidRPr="00000665">
                    <w:rPr>
                      <w:sz w:val="18"/>
                      <w:szCs w:val="18"/>
                      <w:lang w:val="tr-TR" w:eastAsia="tr-TR"/>
                    </w:rPr>
                    <w:t>ranibizumab</w:t>
                  </w:r>
                  <w:proofErr w:type="spellEnd"/>
                  <w:r w:rsidRPr="00000665">
                    <w:rPr>
                      <w:sz w:val="18"/>
                      <w:szCs w:val="18"/>
                      <w:lang w:val="tr-TR" w:eastAsia="tr-TR"/>
                    </w:rPr>
                    <w:t xml:space="preserve">” ibaresinden sonra gelmek üzere “, </w:t>
                  </w:r>
                  <w:proofErr w:type="spellStart"/>
                  <w:r w:rsidRPr="00000665">
                    <w:rPr>
                      <w:sz w:val="18"/>
                      <w:szCs w:val="18"/>
                      <w:lang w:val="tr-TR" w:eastAsia="tr-TR"/>
                    </w:rPr>
                    <w:t>aflibersept</w:t>
                  </w:r>
                  <w:proofErr w:type="spellEnd"/>
                  <w:r w:rsidRPr="00000665">
                    <w:rPr>
                      <w:sz w:val="18"/>
                      <w:szCs w:val="18"/>
                      <w:lang w:val="tr-TR" w:eastAsia="tr-TR"/>
                    </w:rPr>
                    <w:t>” ibaresi  ve  aynı alt maddenin ikinci fıkrasında yer alan “</w:t>
                  </w:r>
                  <w:proofErr w:type="spellStart"/>
                  <w:r w:rsidRPr="00000665">
                    <w:rPr>
                      <w:sz w:val="18"/>
                      <w:szCs w:val="18"/>
                      <w:lang w:val="tr-TR" w:eastAsia="tr-TR"/>
                    </w:rPr>
                    <w:t>Ranibizumab</w:t>
                  </w:r>
                  <w:proofErr w:type="spellEnd"/>
                  <w:r w:rsidRPr="00000665">
                    <w:rPr>
                      <w:sz w:val="18"/>
                      <w:szCs w:val="18"/>
                      <w:lang w:val="tr-TR" w:eastAsia="tr-TR"/>
                    </w:rPr>
                    <w:t xml:space="preserve">” ibaresinden sonra gelmek üzere “ve </w:t>
                  </w:r>
                  <w:proofErr w:type="spellStart"/>
                  <w:r w:rsidRPr="00000665">
                    <w:rPr>
                      <w:sz w:val="18"/>
                      <w:szCs w:val="18"/>
                      <w:lang w:val="tr-TR" w:eastAsia="tr-TR"/>
                    </w:rPr>
                    <w:t>aflibersept</w:t>
                  </w:r>
                  <w:proofErr w:type="spellEnd"/>
                  <w:r w:rsidRPr="00000665">
                    <w:rPr>
                      <w:sz w:val="18"/>
                      <w:szCs w:val="18"/>
                      <w:lang w:val="tr-TR" w:eastAsia="tr-TR"/>
                    </w:rPr>
                    <w:t>”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4.2.33.B  numaralı alt maddesinin başlığı “</w:t>
                  </w:r>
                  <w:r w:rsidRPr="00000665">
                    <w:rPr>
                      <w:b/>
                      <w:sz w:val="18"/>
                      <w:szCs w:val="18"/>
                      <w:lang w:val="tr-TR" w:eastAsia="tr-TR"/>
                    </w:rPr>
                    <w:t xml:space="preserve">Retina </w:t>
                  </w:r>
                  <w:proofErr w:type="spellStart"/>
                  <w:r w:rsidRPr="00000665">
                    <w:rPr>
                      <w:b/>
                      <w:sz w:val="18"/>
                      <w:szCs w:val="18"/>
                      <w:lang w:val="tr-TR" w:eastAsia="tr-TR"/>
                    </w:rPr>
                    <w:t>ven</w:t>
                  </w:r>
                  <w:proofErr w:type="spellEnd"/>
                  <w:r w:rsidRPr="00000665">
                    <w:rPr>
                      <w:b/>
                      <w:sz w:val="18"/>
                      <w:szCs w:val="18"/>
                      <w:lang w:val="tr-TR" w:eastAsia="tr-TR"/>
                    </w:rPr>
                    <w:t xml:space="preserve"> tıkanıklığı ve santral </w:t>
                  </w:r>
                  <w:proofErr w:type="spellStart"/>
                  <w:r w:rsidRPr="00000665">
                    <w:rPr>
                      <w:b/>
                      <w:sz w:val="18"/>
                      <w:szCs w:val="18"/>
                      <w:lang w:val="tr-TR" w:eastAsia="tr-TR"/>
                    </w:rPr>
                    <w:t>retinal</w:t>
                  </w:r>
                  <w:proofErr w:type="spellEnd"/>
                  <w:r w:rsidRPr="00000665">
                    <w:rPr>
                      <w:b/>
                      <w:sz w:val="18"/>
                      <w:szCs w:val="18"/>
                      <w:lang w:val="tr-TR" w:eastAsia="tr-TR"/>
                    </w:rPr>
                    <w:t xml:space="preserve"> </w:t>
                  </w:r>
                  <w:proofErr w:type="spellStart"/>
                  <w:r w:rsidRPr="00000665">
                    <w:rPr>
                      <w:b/>
                      <w:sz w:val="18"/>
                      <w:szCs w:val="18"/>
                      <w:lang w:val="tr-TR" w:eastAsia="tr-TR"/>
                    </w:rPr>
                    <w:t>ven</w:t>
                  </w:r>
                  <w:proofErr w:type="spellEnd"/>
                  <w:r w:rsidRPr="00000665">
                    <w:rPr>
                      <w:b/>
                      <w:sz w:val="18"/>
                      <w:szCs w:val="18"/>
                      <w:lang w:val="tr-TR" w:eastAsia="tr-TR"/>
                    </w:rPr>
                    <w:t xml:space="preserve"> tıkanıklığında ilaç kullanım ilkeleri</w:t>
                  </w:r>
                  <w:r w:rsidRPr="00000665">
                    <w:rPr>
                      <w:sz w:val="18"/>
                      <w:szCs w:val="18"/>
                      <w:lang w:val="tr-TR" w:eastAsia="tr-TR"/>
                    </w:rPr>
                    <w:t>”  olarak değiştirilmiş ve aynı alt maddenin  ikinci fıkrasının birinci ve ikinci cümleleri ile üçüncü fıkrasında yer alan “</w:t>
                  </w:r>
                  <w:proofErr w:type="spellStart"/>
                  <w:r w:rsidRPr="00000665">
                    <w:rPr>
                      <w:sz w:val="18"/>
                      <w:szCs w:val="18"/>
                      <w:lang w:val="tr-TR" w:eastAsia="tr-TR"/>
                    </w:rPr>
                    <w:t>Ranibizumab</w:t>
                  </w:r>
                  <w:proofErr w:type="spellEnd"/>
                  <w:r w:rsidRPr="00000665">
                    <w:rPr>
                      <w:sz w:val="18"/>
                      <w:szCs w:val="18"/>
                      <w:lang w:val="tr-TR" w:eastAsia="tr-TR"/>
                    </w:rPr>
                    <w:t xml:space="preserve">”  ibarelerinden sonra gelmek üzere “ve </w:t>
                  </w:r>
                  <w:proofErr w:type="spellStart"/>
                  <w:r w:rsidRPr="00000665">
                    <w:rPr>
                      <w:sz w:val="18"/>
                      <w:szCs w:val="18"/>
                      <w:lang w:val="tr-TR" w:eastAsia="tr-TR"/>
                    </w:rPr>
                    <w:t>aflibersept</w:t>
                  </w:r>
                  <w:proofErr w:type="spellEnd"/>
                  <w:r w:rsidRPr="00000665">
                    <w:rPr>
                      <w:sz w:val="18"/>
                      <w:szCs w:val="18"/>
                      <w:lang w:val="tr-TR" w:eastAsia="tr-TR"/>
                    </w:rPr>
                    <w:t>”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17 –</w:t>
                  </w:r>
                  <w:r w:rsidRPr="00000665">
                    <w:rPr>
                      <w:sz w:val="18"/>
                      <w:szCs w:val="18"/>
                      <w:lang w:val="tr-TR" w:eastAsia="tr-TR"/>
                    </w:rPr>
                    <w:t xml:space="preserve"> Aynı Tebliğin 4.2.34 numaralı maddesi  başlığı ile beraber aşağıdaki şekilde değiştirilmiştir.</w:t>
                  </w:r>
                </w:p>
                <w:p w:rsidR="00000665" w:rsidRPr="00000665" w:rsidRDefault="00000665" w:rsidP="00000665">
                  <w:pPr>
                    <w:spacing w:before="100" w:beforeAutospacing="1" w:after="100" w:afterAutospacing="1" w:line="240" w:lineRule="exact"/>
                    <w:rPr>
                      <w:b/>
                      <w:sz w:val="18"/>
                      <w:szCs w:val="18"/>
                      <w:lang w:val="tr-TR" w:eastAsia="tr-TR"/>
                    </w:rPr>
                  </w:pPr>
                  <w:r w:rsidRPr="00000665">
                    <w:rPr>
                      <w:b/>
                      <w:sz w:val="18"/>
                      <w:szCs w:val="18"/>
                      <w:lang w:val="tr-TR" w:eastAsia="tr-TR"/>
                    </w:rPr>
                    <w:t xml:space="preserve">“4.2.34 - </w:t>
                  </w:r>
                  <w:proofErr w:type="spellStart"/>
                  <w:r w:rsidRPr="00000665">
                    <w:rPr>
                      <w:b/>
                      <w:sz w:val="18"/>
                      <w:szCs w:val="18"/>
                      <w:lang w:val="tr-TR" w:eastAsia="tr-TR"/>
                    </w:rPr>
                    <w:t>Multipl</w:t>
                  </w:r>
                  <w:proofErr w:type="spellEnd"/>
                  <w:r w:rsidRPr="00000665">
                    <w:rPr>
                      <w:b/>
                      <w:sz w:val="18"/>
                      <w:szCs w:val="18"/>
                      <w:lang w:val="tr-TR" w:eastAsia="tr-TR"/>
                    </w:rPr>
                    <w:t xml:space="preserve"> Skleroz Hastalığında beta interferon, </w:t>
                  </w:r>
                  <w:proofErr w:type="spellStart"/>
                  <w:r w:rsidRPr="00000665">
                    <w:rPr>
                      <w:b/>
                      <w:sz w:val="18"/>
                      <w:szCs w:val="18"/>
                      <w:lang w:val="tr-TR" w:eastAsia="tr-TR"/>
                    </w:rPr>
                    <w:t>glatiramer</w:t>
                  </w:r>
                  <w:proofErr w:type="spellEnd"/>
                  <w:r w:rsidRPr="00000665">
                    <w:rPr>
                      <w:b/>
                      <w:sz w:val="18"/>
                      <w:szCs w:val="18"/>
                      <w:lang w:val="tr-TR" w:eastAsia="tr-TR"/>
                    </w:rPr>
                    <w:t xml:space="preserve"> asetat ve </w:t>
                  </w:r>
                  <w:proofErr w:type="spellStart"/>
                  <w:r w:rsidRPr="00000665">
                    <w:rPr>
                      <w:b/>
                      <w:sz w:val="18"/>
                      <w:szCs w:val="18"/>
                      <w:lang w:val="tr-TR" w:eastAsia="tr-TR"/>
                    </w:rPr>
                    <w:t>fingolimod</w:t>
                  </w:r>
                  <w:proofErr w:type="spellEnd"/>
                  <w:r w:rsidRPr="00000665">
                    <w:rPr>
                      <w:b/>
                      <w:sz w:val="18"/>
                      <w:szCs w:val="18"/>
                      <w:lang w:val="tr-TR" w:eastAsia="tr-TR"/>
                    </w:rPr>
                    <w:t xml:space="preserve"> kullanım ilkeleri</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Beta interferon ve </w:t>
                  </w:r>
                  <w:proofErr w:type="spellStart"/>
                  <w:r w:rsidRPr="00000665">
                    <w:rPr>
                      <w:sz w:val="18"/>
                      <w:szCs w:val="18"/>
                      <w:lang w:val="tr-TR" w:eastAsia="tr-TR"/>
                    </w:rPr>
                    <w:t>glatiramer</w:t>
                  </w:r>
                  <w:proofErr w:type="spellEnd"/>
                  <w:r w:rsidRPr="00000665">
                    <w:rPr>
                      <w:sz w:val="18"/>
                      <w:szCs w:val="18"/>
                      <w:lang w:val="tr-TR" w:eastAsia="tr-TR"/>
                    </w:rPr>
                    <w:t xml:space="preserve"> asetat (</w:t>
                  </w:r>
                  <w:proofErr w:type="spellStart"/>
                  <w:r w:rsidRPr="00000665">
                    <w:rPr>
                      <w:sz w:val="18"/>
                      <w:szCs w:val="18"/>
                      <w:lang w:val="tr-TR" w:eastAsia="tr-TR"/>
                    </w:rPr>
                    <w:t>copolymer</w:t>
                  </w:r>
                  <w:proofErr w:type="spellEnd"/>
                  <w:r w:rsidRPr="00000665">
                    <w:rPr>
                      <w:sz w:val="18"/>
                      <w:szCs w:val="18"/>
                      <w:lang w:val="tr-TR" w:eastAsia="tr-TR"/>
                    </w:rPr>
                    <w:t xml:space="preserve">-l); </w:t>
                  </w:r>
                  <w:proofErr w:type="spellStart"/>
                  <w:r w:rsidRPr="00000665">
                    <w:rPr>
                      <w:sz w:val="18"/>
                      <w:szCs w:val="18"/>
                      <w:lang w:val="tr-TR" w:eastAsia="tr-TR"/>
                    </w:rPr>
                    <w:t>disabilite</w:t>
                  </w:r>
                  <w:proofErr w:type="spellEnd"/>
                  <w:r w:rsidRPr="00000665">
                    <w:rPr>
                      <w:sz w:val="18"/>
                      <w:szCs w:val="18"/>
                      <w:lang w:val="tr-TR" w:eastAsia="tr-TR"/>
                    </w:rPr>
                    <w:t xml:space="preserve"> skorunun (E.D.S.S.) 0-5,5 arasında ve olguların </w:t>
                  </w:r>
                  <w:proofErr w:type="spellStart"/>
                  <w:r w:rsidRPr="00000665">
                    <w:rPr>
                      <w:sz w:val="18"/>
                      <w:szCs w:val="18"/>
                      <w:lang w:val="tr-TR" w:eastAsia="tr-TR"/>
                    </w:rPr>
                    <w:t>remitting</w:t>
                  </w:r>
                  <w:proofErr w:type="spellEnd"/>
                  <w:r w:rsidRPr="00000665">
                    <w:rPr>
                      <w:sz w:val="18"/>
                      <w:szCs w:val="18"/>
                      <w:lang w:val="tr-TR" w:eastAsia="tr-TR"/>
                    </w:rPr>
                    <w:t>-</w:t>
                  </w:r>
                  <w:proofErr w:type="spellStart"/>
                  <w:r w:rsidRPr="00000665">
                    <w:rPr>
                      <w:sz w:val="18"/>
                      <w:szCs w:val="18"/>
                      <w:lang w:val="tr-TR" w:eastAsia="tr-TR"/>
                    </w:rPr>
                    <w:t>relapsing</w:t>
                  </w:r>
                  <w:proofErr w:type="spellEnd"/>
                  <w:r w:rsidRPr="00000665">
                    <w:rPr>
                      <w:sz w:val="18"/>
                      <w:szCs w:val="18"/>
                      <w:lang w:val="tr-TR" w:eastAsia="tr-TR"/>
                    </w:rPr>
                    <w:t xml:space="preserve"> türü olması şartlarının birlikte gerçekleşmesi, bu durumun üçüncü basamak sağlık kurumlarında nöroloji uzman hekimi tarafından düzenlenen uzman hekim raporunda belirtilmesi koşuluyla nöroloji uzman hekimleri tarafından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w:t>
                  </w:r>
                  <w:proofErr w:type="spellStart"/>
                  <w:r w:rsidRPr="00000665">
                    <w:rPr>
                      <w:sz w:val="18"/>
                      <w:szCs w:val="18"/>
                      <w:lang w:val="tr-TR" w:eastAsia="tr-TR"/>
                    </w:rPr>
                    <w:t>Fingolimod</w:t>
                  </w:r>
                  <w:proofErr w:type="spellEnd"/>
                  <w:r w:rsidRPr="00000665">
                    <w:rPr>
                      <w:sz w:val="18"/>
                      <w:szCs w:val="18"/>
                      <w:lang w:val="tr-TR" w:eastAsia="tr-TR"/>
                    </w:rPr>
                    <w:t xml:space="preserve">; yalnızca çok aktif durumlarda RR tipindeki erişkin MS hastalarından, en az bir yıl süre ile bir beta interferon veya </w:t>
                  </w:r>
                  <w:proofErr w:type="spellStart"/>
                  <w:r w:rsidRPr="00000665">
                    <w:rPr>
                      <w:sz w:val="18"/>
                      <w:szCs w:val="18"/>
                      <w:lang w:val="tr-TR" w:eastAsia="tr-TR"/>
                    </w:rPr>
                    <w:t>glatiramer</w:t>
                  </w:r>
                  <w:proofErr w:type="spellEnd"/>
                  <w:r w:rsidRPr="00000665">
                    <w:rPr>
                      <w:sz w:val="18"/>
                      <w:szCs w:val="18"/>
                      <w:lang w:val="tr-TR" w:eastAsia="tr-TR"/>
                    </w:rPr>
                    <w:t xml:space="preserve"> asetat tedavisine yanıt vermeyen ve yüksek hastalık aktivitesine sahip olan hastalarda kullanılır.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Yanıt vermeyen hastalar; bir yıllık tedavi ile ataklarında değişiklik olmayan, ataklarında artış gözlenen, daha ciddi atakları olan veya önceki tedaviler ile son yıl içinde en az bir atak geçirmiş ve </w:t>
                  </w:r>
                  <w:proofErr w:type="spellStart"/>
                  <w:r w:rsidRPr="00000665">
                    <w:rPr>
                      <w:sz w:val="18"/>
                      <w:szCs w:val="18"/>
                      <w:lang w:val="tr-TR" w:eastAsia="tr-TR"/>
                    </w:rPr>
                    <w:t>kraniyal</w:t>
                  </w:r>
                  <w:proofErr w:type="spellEnd"/>
                  <w:r w:rsidRPr="00000665">
                    <w:rPr>
                      <w:sz w:val="18"/>
                      <w:szCs w:val="18"/>
                      <w:lang w:val="tr-TR" w:eastAsia="tr-TR"/>
                    </w:rPr>
                    <w:t xml:space="preserve"> </w:t>
                  </w:r>
                  <w:proofErr w:type="spellStart"/>
                  <w:r w:rsidRPr="00000665">
                    <w:rPr>
                      <w:sz w:val="18"/>
                      <w:szCs w:val="18"/>
                      <w:lang w:val="tr-TR" w:eastAsia="tr-TR"/>
                    </w:rPr>
                    <w:t>MR'ında</w:t>
                  </w:r>
                  <w:proofErr w:type="spellEnd"/>
                  <w:r w:rsidRPr="00000665">
                    <w:rPr>
                      <w:sz w:val="18"/>
                      <w:szCs w:val="18"/>
                      <w:lang w:val="tr-TR" w:eastAsia="tr-TR"/>
                    </w:rPr>
                    <w:t xml:space="preserve"> bir veya birden fazla kontrast tutan lezyon veya birbirini takip eden </w:t>
                  </w:r>
                  <w:proofErr w:type="spellStart"/>
                  <w:r w:rsidRPr="00000665">
                    <w:rPr>
                      <w:sz w:val="18"/>
                      <w:szCs w:val="18"/>
                      <w:lang w:val="tr-TR" w:eastAsia="tr-TR"/>
                    </w:rPr>
                    <w:t>MR'larda</w:t>
                  </w:r>
                  <w:proofErr w:type="spellEnd"/>
                  <w:r w:rsidRPr="00000665">
                    <w:rPr>
                      <w:sz w:val="18"/>
                      <w:szCs w:val="18"/>
                      <w:lang w:val="tr-TR" w:eastAsia="tr-TR"/>
                    </w:rPr>
                    <w:t xml:space="preserve"> T2 lezyonlarının arttığı durumlardaki hastalardır.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EDSS skoru her düzenlenen raporda belirtilir ve 6 ve üzeri olan hastalarda tedavi sonlandırılır.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c) Üçüncü basamak sağlık kurumlarında bu durumların belirtildiği nöroloji uzman hekiminin yer aldığı sağlık kurulu raporuna dayanılarak nöroloji uzman hekimleri tarafından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(3) “Yurt Dışı İlaç Fiyat Listesi” </w:t>
                  </w:r>
                  <w:proofErr w:type="spellStart"/>
                  <w:r w:rsidRPr="00000665">
                    <w:rPr>
                      <w:sz w:val="18"/>
                      <w:szCs w:val="18"/>
                      <w:lang w:val="tr-TR" w:eastAsia="tr-TR"/>
                    </w:rPr>
                    <w:t>nde</w:t>
                  </w:r>
                  <w:proofErr w:type="spellEnd"/>
                  <w:r w:rsidRPr="00000665">
                    <w:rPr>
                      <w:sz w:val="18"/>
                      <w:szCs w:val="18"/>
                      <w:lang w:val="tr-TR" w:eastAsia="tr-TR"/>
                    </w:rPr>
                    <w:t xml:space="preserve"> (EK-4/C) yer alan ve </w:t>
                  </w:r>
                  <w:proofErr w:type="spellStart"/>
                  <w:r w:rsidRPr="00000665">
                    <w:rPr>
                      <w:sz w:val="18"/>
                      <w:szCs w:val="18"/>
                      <w:lang w:val="tr-TR" w:eastAsia="tr-TR"/>
                    </w:rPr>
                    <w:t>multipl</w:t>
                  </w:r>
                  <w:proofErr w:type="spellEnd"/>
                  <w:r w:rsidRPr="00000665">
                    <w:rPr>
                      <w:sz w:val="18"/>
                      <w:szCs w:val="18"/>
                      <w:lang w:val="tr-TR" w:eastAsia="tr-TR"/>
                    </w:rPr>
                    <w:t xml:space="preserve"> skleroz hastalığında kullanılan ilaçlar,  yalnızca çok aktif durumlarda RR tipindeki erişkin MS hastalarından, yukarıdaki koşullara göre </w:t>
                  </w:r>
                  <w:proofErr w:type="spellStart"/>
                  <w:r w:rsidRPr="00000665">
                    <w:rPr>
                      <w:sz w:val="18"/>
                      <w:szCs w:val="18"/>
                      <w:lang w:val="tr-TR" w:eastAsia="tr-TR"/>
                    </w:rPr>
                    <w:t>fingolimod</w:t>
                  </w:r>
                  <w:proofErr w:type="spellEnd"/>
                  <w:r w:rsidRPr="00000665">
                    <w:rPr>
                      <w:sz w:val="18"/>
                      <w:szCs w:val="18"/>
                      <w:lang w:val="tr-TR" w:eastAsia="tr-TR"/>
                    </w:rPr>
                    <w:t xml:space="preserve"> tedavisi almış ve EDSS </w:t>
                  </w:r>
                  <w:r w:rsidRPr="00000665">
                    <w:rPr>
                      <w:sz w:val="18"/>
                      <w:szCs w:val="18"/>
                      <w:lang w:val="tr-TR" w:eastAsia="tr-TR"/>
                    </w:rPr>
                    <w:lastRenderedPageBreak/>
                    <w:t xml:space="preserve">skoru 6 ve üzeri olması nedeniyle </w:t>
                  </w:r>
                  <w:proofErr w:type="spellStart"/>
                  <w:r w:rsidRPr="00000665">
                    <w:rPr>
                      <w:sz w:val="18"/>
                      <w:szCs w:val="18"/>
                      <w:lang w:val="tr-TR" w:eastAsia="tr-TR"/>
                    </w:rPr>
                    <w:t>fingolimod</w:t>
                  </w:r>
                  <w:proofErr w:type="spellEnd"/>
                  <w:r w:rsidRPr="00000665">
                    <w:rPr>
                      <w:sz w:val="18"/>
                      <w:szCs w:val="18"/>
                      <w:lang w:val="tr-TR" w:eastAsia="tr-TR"/>
                    </w:rPr>
                    <w:t xml:space="preserve"> tedavisi sonlandırılmış hastalarda kullanılır.”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18 –</w:t>
                  </w:r>
                  <w:r w:rsidRPr="00000665">
                    <w:rPr>
                      <w:sz w:val="18"/>
                      <w:szCs w:val="18"/>
                      <w:lang w:val="tr-TR" w:eastAsia="tr-TR"/>
                    </w:rPr>
                    <w:t xml:space="preserve"> Aynı Tebliğe 4.2.43 numaralı maddeden sonra gelmek üzere aşağıdaki madde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 xml:space="preserve">“4.2.44- </w:t>
                  </w:r>
                  <w:proofErr w:type="spellStart"/>
                  <w:r w:rsidRPr="00000665">
                    <w:rPr>
                      <w:b/>
                      <w:sz w:val="18"/>
                      <w:szCs w:val="18"/>
                      <w:lang w:val="tr-TR" w:eastAsia="tr-TR"/>
                    </w:rPr>
                    <w:t>Kriyopirin</w:t>
                  </w:r>
                  <w:proofErr w:type="spellEnd"/>
                  <w:r w:rsidRPr="00000665">
                    <w:rPr>
                      <w:b/>
                      <w:sz w:val="18"/>
                      <w:szCs w:val="18"/>
                      <w:lang w:val="tr-TR" w:eastAsia="tr-TR"/>
                    </w:rPr>
                    <w:t xml:space="preserve"> ilişkili periyodik sendromlar (CAPS) hastalığında </w:t>
                  </w:r>
                  <w:proofErr w:type="spellStart"/>
                  <w:r w:rsidRPr="00000665">
                    <w:rPr>
                      <w:b/>
                      <w:sz w:val="18"/>
                      <w:szCs w:val="18"/>
                      <w:lang w:val="tr-TR" w:eastAsia="tr-TR"/>
                    </w:rPr>
                    <w:t>kanakinumab</w:t>
                  </w:r>
                  <w:proofErr w:type="spellEnd"/>
                  <w:r w:rsidRPr="00000665">
                    <w:rPr>
                      <w:b/>
                      <w:sz w:val="18"/>
                      <w:szCs w:val="18"/>
                      <w:lang w:val="tr-TR" w:eastAsia="tr-TR"/>
                    </w:rPr>
                    <w:t xml:space="preserve"> kullanım ilkeleri;</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(1) </w:t>
                  </w:r>
                  <w:proofErr w:type="spellStart"/>
                  <w:r w:rsidRPr="00000665">
                    <w:rPr>
                      <w:sz w:val="18"/>
                      <w:szCs w:val="18"/>
                      <w:lang w:val="tr-TR" w:eastAsia="tr-TR"/>
                    </w:rPr>
                    <w:t>Kanakinumab</w:t>
                  </w:r>
                  <w:proofErr w:type="spellEnd"/>
                  <w:r w:rsidRPr="00000665">
                    <w:rPr>
                      <w:sz w:val="18"/>
                      <w:szCs w:val="18"/>
                      <w:lang w:val="tr-TR" w:eastAsia="tr-TR"/>
                    </w:rPr>
                    <w:t xml:space="preserve">; yalnızca 15 kg vücut ağırlığının üzerinde olan 4 yaş ve üstü çocuklar ile yetişkinlerde </w:t>
                  </w:r>
                  <w:proofErr w:type="spellStart"/>
                  <w:r w:rsidRPr="00000665">
                    <w:rPr>
                      <w:sz w:val="18"/>
                      <w:szCs w:val="18"/>
                      <w:lang w:val="tr-TR" w:eastAsia="tr-TR"/>
                    </w:rPr>
                    <w:t>kriyopirin</w:t>
                  </w:r>
                  <w:proofErr w:type="spellEnd"/>
                  <w:r w:rsidRPr="00000665">
                    <w:rPr>
                      <w:sz w:val="18"/>
                      <w:szCs w:val="18"/>
                      <w:lang w:val="tr-TR" w:eastAsia="tr-TR"/>
                    </w:rPr>
                    <w:t xml:space="preserve"> ilişkili periyodik sendromlardan (CAPS);  ailevi soğuk </w:t>
                  </w:r>
                  <w:proofErr w:type="spellStart"/>
                  <w:r w:rsidRPr="00000665">
                    <w:rPr>
                      <w:sz w:val="18"/>
                      <w:szCs w:val="18"/>
                      <w:lang w:val="tr-TR" w:eastAsia="tr-TR"/>
                    </w:rPr>
                    <w:t>otoinflamatuar</w:t>
                  </w:r>
                  <w:proofErr w:type="spellEnd"/>
                  <w:r w:rsidRPr="00000665">
                    <w:rPr>
                      <w:sz w:val="18"/>
                      <w:szCs w:val="18"/>
                      <w:lang w:val="tr-TR" w:eastAsia="tr-TR"/>
                    </w:rPr>
                    <w:t xml:space="preserve"> sendrom (FCAS)/ailevi soğuk ürtiker (FCU), </w:t>
                  </w:r>
                  <w:proofErr w:type="spellStart"/>
                  <w:r w:rsidRPr="00000665">
                    <w:rPr>
                      <w:sz w:val="18"/>
                      <w:szCs w:val="18"/>
                      <w:lang w:val="tr-TR" w:eastAsia="tr-TR"/>
                    </w:rPr>
                    <w:t>Muckle</w:t>
                  </w:r>
                  <w:proofErr w:type="spellEnd"/>
                  <w:r w:rsidRPr="00000665">
                    <w:rPr>
                      <w:sz w:val="18"/>
                      <w:szCs w:val="18"/>
                      <w:lang w:val="tr-TR" w:eastAsia="tr-TR"/>
                    </w:rPr>
                    <w:t>-</w:t>
                  </w:r>
                  <w:proofErr w:type="spellStart"/>
                  <w:r w:rsidRPr="00000665">
                    <w:rPr>
                      <w:sz w:val="18"/>
                      <w:szCs w:val="18"/>
                      <w:lang w:val="tr-TR" w:eastAsia="tr-TR"/>
                    </w:rPr>
                    <w:t>Wells</w:t>
                  </w:r>
                  <w:proofErr w:type="spellEnd"/>
                  <w:r w:rsidRPr="00000665">
                    <w:rPr>
                      <w:sz w:val="18"/>
                      <w:szCs w:val="18"/>
                      <w:lang w:val="tr-TR" w:eastAsia="tr-TR"/>
                    </w:rPr>
                    <w:t xml:space="preserve"> sendromu (MWS), </w:t>
                  </w:r>
                  <w:proofErr w:type="spellStart"/>
                  <w:r w:rsidRPr="00000665">
                    <w:rPr>
                      <w:sz w:val="18"/>
                      <w:szCs w:val="18"/>
                      <w:lang w:val="tr-TR" w:eastAsia="tr-TR"/>
                    </w:rPr>
                    <w:t>neonatal</w:t>
                  </w:r>
                  <w:proofErr w:type="spellEnd"/>
                  <w:r w:rsidRPr="00000665">
                    <w:rPr>
                      <w:sz w:val="18"/>
                      <w:szCs w:val="18"/>
                      <w:lang w:val="tr-TR" w:eastAsia="tr-TR"/>
                    </w:rPr>
                    <w:t xml:space="preserve"> başlangıçlı </w:t>
                  </w:r>
                  <w:proofErr w:type="spellStart"/>
                  <w:r w:rsidRPr="00000665">
                    <w:rPr>
                      <w:sz w:val="18"/>
                      <w:szCs w:val="18"/>
                      <w:lang w:val="tr-TR" w:eastAsia="tr-TR"/>
                    </w:rPr>
                    <w:t>multisistem</w:t>
                  </w:r>
                  <w:proofErr w:type="spellEnd"/>
                  <w:r w:rsidRPr="00000665">
                    <w:rPr>
                      <w:sz w:val="18"/>
                      <w:szCs w:val="18"/>
                      <w:lang w:val="tr-TR" w:eastAsia="tr-TR"/>
                    </w:rPr>
                    <w:t xml:space="preserve"> </w:t>
                  </w:r>
                  <w:proofErr w:type="spellStart"/>
                  <w:r w:rsidRPr="00000665">
                    <w:rPr>
                      <w:sz w:val="18"/>
                      <w:szCs w:val="18"/>
                      <w:lang w:val="tr-TR" w:eastAsia="tr-TR"/>
                    </w:rPr>
                    <w:t>inflamatuar</w:t>
                  </w:r>
                  <w:proofErr w:type="spellEnd"/>
                  <w:r w:rsidRPr="00000665">
                    <w:rPr>
                      <w:sz w:val="18"/>
                      <w:szCs w:val="18"/>
                      <w:lang w:val="tr-TR" w:eastAsia="tr-TR"/>
                    </w:rPr>
                    <w:t xml:space="preserve"> hastalık (NOMID)/kronik </w:t>
                  </w:r>
                  <w:proofErr w:type="spellStart"/>
                  <w:r w:rsidRPr="00000665">
                    <w:rPr>
                      <w:sz w:val="18"/>
                      <w:szCs w:val="18"/>
                      <w:lang w:val="tr-TR" w:eastAsia="tr-TR"/>
                    </w:rPr>
                    <w:t>infantil</w:t>
                  </w:r>
                  <w:proofErr w:type="spellEnd"/>
                  <w:r w:rsidRPr="00000665">
                    <w:rPr>
                      <w:sz w:val="18"/>
                      <w:szCs w:val="18"/>
                      <w:lang w:val="tr-TR" w:eastAsia="tr-TR"/>
                    </w:rPr>
                    <w:t xml:space="preserve"> nörolojik, </w:t>
                  </w:r>
                  <w:proofErr w:type="spellStart"/>
                  <w:r w:rsidRPr="00000665">
                    <w:rPr>
                      <w:sz w:val="18"/>
                      <w:szCs w:val="18"/>
                      <w:lang w:val="tr-TR" w:eastAsia="tr-TR"/>
                    </w:rPr>
                    <w:t>kütanöz</w:t>
                  </w:r>
                  <w:proofErr w:type="spellEnd"/>
                  <w:r w:rsidRPr="00000665">
                    <w:rPr>
                      <w:sz w:val="18"/>
                      <w:szCs w:val="18"/>
                      <w:lang w:val="tr-TR" w:eastAsia="tr-TR"/>
                    </w:rPr>
                    <w:t xml:space="preserve">, </w:t>
                  </w:r>
                  <w:proofErr w:type="spellStart"/>
                  <w:r w:rsidRPr="00000665">
                    <w:rPr>
                      <w:sz w:val="18"/>
                      <w:szCs w:val="18"/>
                      <w:lang w:val="tr-TR" w:eastAsia="tr-TR"/>
                    </w:rPr>
                    <w:t>artiküler</w:t>
                  </w:r>
                  <w:proofErr w:type="spellEnd"/>
                  <w:r w:rsidRPr="00000665">
                    <w:rPr>
                      <w:sz w:val="18"/>
                      <w:szCs w:val="18"/>
                      <w:lang w:val="tr-TR" w:eastAsia="tr-TR"/>
                    </w:rPr>
                    <w:t xml:space="preserve"> sendrom (CINCA) tedavisinde kullanılır.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(2) Tedaviye </w:t>
                  </w:r>
                  <w:proofErr w:type="spellStart"/>
                  <w:r w:rsidRPr="00000665">
                    <w:rPr>
                      <w:sz w:val="18"/>
                      <w:szCs w:val="18"/>
                      <w:lang w:val="tr-TR" w:eastAsia="tr-TR"/>
                    </w:rPr>
                    <w:t>anakinra</w:t>
                  </w:r>
                  <w:proofErr w:type="spellEnd"/>
                  <w:r w:rsidRPr="00000665">
                    <w:rPr>
                      <w:sz w:val="18"/>
                      <w:szCs w:val="18"/>
                      <w:lang w:val="tr-TR" w:eastAsia="tr-TR"/>
                    </w:rPr>
                    <w:t xml:space="preserve"> ile başlanır. </w:t>
                  </w:r>
                  <w:proofErr w:type="spellStart"/>
                  <w:r w:rsidRPr="00000665">
                    <w:rPr>
                      <w:sz w:val="18"/>
                      <w:szCs w:val="18"/>
                      <w:lang w:val="tr-TR" w:eastAsia="tr-TR"/>
                    </w:rPr>
                    <w:t>Anakinra</w:t>
                  </w:r>
                  <w:proofErr w:type="spellEnd"/>
                  <w:r w:rsidRPr="00000665">
                    <w:rPr>
                      <w:sz w:val="18"/>
                      <w:szCs w:val="18"/>
                      <w:lang w:val="tr-TR" w:eastAsia="tr-TR"/>
                    </w:rPr>
                    <w:t xml:space="preserve"> tedavisine yanıt alınamaması veya </w:t>
                  </w:r>
                  <w:proofErr w:type="spellStart"/>
                  <w:r w:rsidRPr="00000665">
                    <w:rPr>
                      <w:sz w:val="18"/>
                      <w:szCs w:val="18"/>
                      <w:lang w:val="tr-TR" w:eastAsia="tr-TR"/>
                    </w:rPr>
                    <w:t>anakinra</w:t>
                  </w:r>
                  <w:proofErr w:type="spellEnd"/>
                  <w:r w:rsidRPr="00000665">
                    <w:rPr>
                      <w:sz w:val="18"/>
                      <w:szCs w:val="18"/>
                      <w:lang w:val="tr-TR" w:eastAsia="tr-TR"/>
                    </w:rPr>
                    <w:t xml:space="preserve"> tedavisi altındayken </w:t>
                  </w:r>
                  <w:proofErr w:type="spellStart"/>
                  <w:r w:rsidRPr="00000665">
                    <w:rPr>
                      <w:sz w:val="18"/>
                      <w:szCs w:val="18"/>
                      <w:lang w:val="tr-TR" w:eastAsia="tr-TR"/>
                    </w:rPr>
                    <w:t>anakinra</w:t>
                  </w:r>
                  <w:proofErr w:type="spellEnd"/>
                  <w:r w:rsidRPr="00000665">
                    <w:rPr>
                      <w:sz w:val="18"/>
                      <w:szCs w:val="18"/>
                      <w:lang w:val="tr-TR" w:eastAsia="tr-TR"/>
                    </w:rPr>
                    <w:t xml:space="preserve"> kullanılmasını engelleyecek ciddi klinik yan etki oluşması halinde </w:t>
                  </w:r>
                  <w:proofErr w:type="spellStart"/>
                  <w:r w:rsidRPr="00000665">
                    <w:rPr>
                      <w:sz w:val="18"/>
                      <w:szCs w:val="18"/>
                      <w:lang w:val="tr-TR" w:eastAsia="tr-TR"/>
                    </w:rPr>
                    <w:t>kanakinumab</w:t>
                  </w:r>
                  <w:proofErr w:type="spellEnd"/>
                  <w:r w:rsidRPr="00000665">
                    <w:rPr>
                      <w:sz w:val="18"/>
                      <w:szCs w:val="18"/>
                      <w:lang w:val="tr-TR" w:eastAsia="tr-TR"/>
                    </w:rPr>
                    <w:t xml:space="preserve"> tedavisine geçilir.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(3) </w:t>
                  </w:r>
                  <w:proofErr w:type="spellStart"/>
                  <w:r w:rsidRPr="00000665">
                    <w:rPr>
                      <w:sz w:val="18"/>
                      <w:szCs w:val="18"/>
                      <w:lang w:val="tr-TR" w:eastAsia="tr-TR"/>
                    </w:rPr>
                    <w:t>Kanakinumab</w:t>
                  </w:r>
                  <w:proofErr w:type="spellEnd"/>
                  <w:r w:rsidRPr="00000665">
                    <w:rPr>
                      <w:sz w:val="18"/>
                      <w:szCs w:val="18"/>
                      <w:lang w:val="tr-TR" w:eastAsia="tr-TR"/>
                    </w:rPr>
                    <w:t xml:space="preserve"> tedavisinde 6 ay sonunda yapılacak yanıt değerlendirmesine göre yanıt alınamayan hastalarda tedavi kesilir.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(4) </w:t>
                  </w:r>
                  <w:proofErr w:type="spellStart"/>
                  <w:r w:rsidRPr="00000665">
                    <w:rPr>
                      <w:sz w:val="18"/>
                      <w:szCs w:val="18"/>
                      <w:lang w:val="tr-TR" w:eastAsia="tr-TR"/>
                    </w:rPr>
                    <w:t>Kanakinumab</w:t>
                  </w:r>
                  <w:proofErr w:type="spellEnd"/>
                  <w:r w:rsidRPr="00000665">
                    <w:rPr>
                      <w:sz w:val="18"/>
                      <w:szCs w:val="18"/>
                      <w:lang w:val="tr-TR" w:eastAsia="tr-TR"/>
                    </w:rPr>
                    <w:t xml:space="preserve">; üçüncü basamak sağlık kurumlarında bu durumların belirtildiği </w:t>
                  </w:r>
                  <w:proofErr w:type="spellStart"/>
                  <w:r w:rsidRPr="00000665">
                    <w:rPr>
                      <w:sz w:val="18"/>
                      <w:szCs w:val="18"/>
                      <w:lang w:val="tr-TR" w:eastAsia="tr-TR"/>
                    </w:rPr>
                    <w:t>romatoloji</w:t>
                  </w:r>
                  <w:proofErr w:type="spellEnd"/>
                  <w:r w:rsidRPr="00000665">
                    <w:rPr>
                      <w:sz w:val="18"/>
                      <w:szCs w:val="18"/>
                      <w:lang w:val="tr-TR" w:eastAsia="tr-TR"/>
                    </w:rPr>
                    <w:t xml:space="preserve"> uzman hekiminin yer aldığı 3 ay süreli sağlık kurulu raporuna dayanılarak </w:t>
                  </w:r>
                  <w:proofErr w:type="spellStart"/>
                  <w:r w:rsidRPr="00000665">
                    <w:rPr>
                      <w:sz w:val="18"/>
                      <w:szCs w:val="18"/>
                      <w:lang w:val="tr-TR" w:eastAsia="tr-TR"/>
                    </w:rPr>
                    <w:t>romatoloji</w:t>
                  </w:r>
                  <w:proofErr w:type="spellEnd"/>
                  <w:r w:rsidRPr="00000665">
                    <w:rPr>
                      <w:sz w:val="18"/>
                      <w:szCs w:val="18"/>
                      <w:lang w:val="tr-TR" w:eastAsia="tr-TR"/>
                    </w:rPr>
                    <w:t xml:space="preserve"> uzman hekimlerince reçete edilir.”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19 –</w:t>
                  </w:r>
                  <w:r w:rsidRPr="00000665">
                    <w:rPr>
                      <w:sz w:val="18"/>
                      <w:szCs w:val="18"/>
                      <w:lang w:val="tr-TR" w:eastAsia="tr-TR"/>
                    </w:rPr>
                    <w:t xml:space="preserve"> Aynı Tebliğ eki “Hizmet Başı İşlem Puan Listesi” </w:t>
                  </w:r>
                  <w:proofErr w:type="spellStart"/>
                  <w:r w:rsidRPr="00000665">
                    <w:rPr>
                      <w:sz w:val="18"/>
                      <w:szCs w:val="18"/>
                      <w:lang w:val="tr-TR" w:eastAsia="tr-TR"/>
                    </w:rPr>
                    <w:t>nde</w:t>
                  </w:r>
                  <w:proofErr w:type="spellEnd"/>
                  <w:r w:rsidRPr="00000665">
                    <w:rPr>
                      <w:sz w:val="18"/>
                      <w:szCs w:val="18"/>
                      <w:lang w:val="tr-TR" w:eastAsia="tr-TR"/>
                    </w:rPr>
                    <w:t xml:space="preserve"> (EK-2/B)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Listeye “530.532” SUT kodlu işlemden sonra gelmek üzere aşağıdaki işlem eklenmiştir.</w:t>
                  </w:r>
                </w:p>
                <w:p w:rsidR="00000665" w:rsidRPr="00000665" w:rsidRDefault="00000665" w:rsidP="00000665">
                  <w:pPr>
                    <w:spacing w:before="100" w:beforeAutospacing="1" w:after="100" w:afterAutospacing="1" w:line="240" w:lineRule="exact"/>
                    <w:rPr>
                      <w:sz w:val="18"/>
                      <w:szCs w:val="18"/>
                      <w:lang w:val="tr-TR" w:eastAsia="tr-TR"/>
                    </w:rPr>
                  </w:pPr>
                </w:p>
                <w:tbl>
                  <w:tblPr>
                    <w:tblW w:w="85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6"/>
                    <w:gridCol w:w="1267"/>
                    <w:gridCol w:w="5316"/>
                    <w:gridCol w:w="1128"/>
                  </w:tblGrid>
                  <w:tr w:rsidR="00000665" w:rsidRPr="00000665">
                    <w:trPr>
                      <w:trHeight w:val="2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KODU</w:t>
                        </w:r>
                      </w:p>
                    </w:tc>
                    <w:tc>
                      <w:tcPr>
                        <w:tcW w:w="130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İŞLEM ADI</w:t>
                        </w:r>
                      </w:p>
                    </w:tc>
                    <w:tc>
                      <w:tcPr>
                        <w:tcW w:w="490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AÇIKLAMA</w:t>
                        </w:r>
                      </w:p>
                    </w:tc>
                    <w:tc>
                      <w:tcPr>
                        <w:tcW w:w="143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İŞLEM PUANI</w:t>
                        </w:r>
                      </w:p>
                    </w:tc>
                  </w:tr>
                  <w:tr w:rsidR="00000665" w:rsidRPr="00000665">
                    <w:trPr>
                      <w:trHeight w:val="20"/>
                      <w:jc w:val="center"/>
                    </w:trPr>
                    <w:tc>
                      <w:tcPr>
                        <w:tcW w:w="891"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530533</w:t>
                        </w:r>
                      </w:p>
                    </w:tc>
                    <w:tc>
                      <w:tcPr>
                        <w:tcW w:w="1306" w:type="dxa"/>
                        <w:tcBorders>
                          <w:top w:val="single" w:sz="4" w:space="0" w:color="auto"/>
                          <w:left w:val="single" w:sz="4" w:space="0" w:color="auto"/>
                          <w:bottom w:val="single" w:sz="4" w:space="0" w:color="auto"/>
                          <w:right w:val="single" w:sz="4" w:space="0" w:color="auto"/>
                        </w:tcBorders>
                      </w:tcPr>
                      <w:p w:rsidR="00000665" w:rsidRPr="00000665" w:rsidRDefault="00000665" w:rsidP="00000665">
                        <w:pPr>
                          <w:spacing w:line="240" w:lineRule="exact"/>
                          <w:jc w:val="center"/>
                          <w:rPr>
                            <w:noProof/>
                            <w:sz w:val="18"/>
                            <w:szCs w:val="18"/>
                            <w:lang w:eastAsia="tr-TR"/>
                          </w:rPr>
                        </w:pPr>
                      </w:p>
                      <w:p w:rsidR="00000665" w:rsidRPr="00000665" w:rsidRDefault="00000665" w:rsidP="00000665">
                        <w:pPr>
                          <w:spacing w:line="240" w:lineRule="exact"/>
                          <w:jc w:val="center"/>
                          <w:rPr>
                            <w:noProof/>
                            <w:sz w:val="18"/>
                            <w:szCs w:val="18"/>
                            <w:lang w:eastAsia="tr-TR"/>
                          </w:rPr>
                        </w:pPr>
                      </w:p>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Epidermolizis büllosa hastalığında yara bakım hizmetleri</w:t>
                        </w:r>
                      </w:p>
                    </w:tc>
                    <w:tc>
                      <w:tcPr>
                        <w:tcW w:w="4904"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0" w:lineRule="atLeast"/>
                          <w:jc w:val="both"/>
                          <w:rPr>
                            <w:noProof/>
                            <w:sz w:val="18"/>
                            <w:szCs w:val="18"/>
                            <w:lang w:eastAsia="tr-TR"/>
                          </w:rPr>
                        </w:pPr>
                        <w:r w:rsidRPr="00000665">
                          <w:rPr>
                            <w:noProof/>
                            <w:sz w:val="18"/>
                            <w:szCs w:val="18"/>
                            <w:lang w:eastAsia="tr-TR"/>
                          </w:rPr>
                          <w:t>Sağlık Bakanlığı’na bağlı ikinci veya üçüncü basamak sağlık hizmeti sunucularınca 3 (üç) günde bir faturalandırılması                             halinde ödenir. Tüm hizmet ve malzemeler dahildir. (530.500,530.510,530.520,530.530,530.531,530.532,530.560,530.561, 530.580,530.581) kodlu işlemler bu işlemle birlikte faturalandırılamaz.Yalnızca SUT Eki EK3/B Listesinde yer alan malzemelerle yapılan pansumanlar bu işlem kodu üzerinden faturalandırılamaz. Bkz. SUT 3.3.1 (13)</w:t>
                        </w:r>
                      </w:p>
                    </w:tc>
                    <w:tc>
                      <w:tcPr>
                        <w:tcW w:w="143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303,54</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Listede işlem adı ve açıklama bölümünde değişiklik yapılan işlemler aşağıdaki tabloda belirtilmiştir.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40"/>
                    <w:gridCol w:w="2796"/>
                    <w:gridCol w:w="3740"/>
                    <w:gridCol w:w="1178"/>
                  </w:tblGrid>
                  <w:tr w:rsidR="00000665" w:rsidRPr="00000665">
                    <w:trPr>
                      <w:trHeight w:val="20"/>
                      <w:jc w:val="center"/>
                    </w:trPr>
                    <w:tc>
                      <w:tcPr>
                        <w:tcW w:w="895"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KODU</w:t>
                        </w:r>
                      </w:p>
                    </w:tc>
                    <w:tc>
                      <w:tcPr>
                        <w:tcW w:w="1359"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İŞLEM ADI</w:t>
                        </w:r>
                      </w:p>
                    </w:tc>
                    <w:tc>
                      <w:tcPr>
                        <w:tcW w:w="4876"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AÇIKLAMA</w:t>
                        </w:r>
                      </w:p>
                    </w:tc>
                    <w:tc>
                      <w:tcPr>
                        <w:tcW w:w="1424"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İŞLEM PUANI</w:t>
                        </w:r>
                      </w:p>
                    </w:tc>
                  </w:tr>
                  <w:tr w:rsidR="00000665" w:rsidRPr="00000665">
                    <w:trPr>
                      <w:trHeight w:val="20"/>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510070</w:t>
                        </w:r>
                      </w:p>
                    </w:tc>
                    <w:tc>
                      <w:tcPr>
                        <w:tcW w:w="13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ind w:firstLineChars="100" w:firstLine="180"/>
                          <w:rPr>
                            <w:noProof/>
                            <w:sz w:val="18"/>
                            <w:szCs w:val="18"/>
                            <w:lang w:eastAsia="tr-TR"/>
                          </w:rPr>
                        </w:pPr>
                        <w:r w:rsidRPr="00000665">
                          <w:rPr>
                            <w:noProof/>
                            <w:sz w:val="18"/>
                            <w:szCs w:val="18"/>
                            <w:lang w:eastAsia="tr-TR"/>
                          </w:rPr>
                          <w:t>Kuvöz</w:t>
                        </w:r>
                      </w:p>
                    </w:tc>
                    <w:tc>
                      <w:tcPr>
                        <w:tcW w:w="487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noProof/>
                            <w:sz w:val="18"/>
                            <w:szCs w:val="18"/>
                            <w:lang w:eastAsia="tr-TR"/>
                          </w:rPr>
                        </w:pPr>
                        <w:r w:rsidRPr="00000665">
                          <w:rPr>
                            <w:noProof/>
                            <w:sz w:val="18"/>
                            <w:szCs w:val="18"/>
                            <w:lang w:eastAsia="tr-TR"/>
                          </w:rPr>
                          <w:t>Yemek, yatak, hasta vizit  hizmetlerini kapsar.510.081 ile birlikte faturalandırılmaz.Günde en fazla bir defa faturalandırılır.</w:t>
                        </w:r>
                      </w:p>
                    </w:tc>
                    <w:tc>
                      <w:tcPr>
                        <w:tcW w:w="142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100,34</w:t>
                        </w:r>
                      </w:p>
                    </w:tc>
                  </w:tr>
                  <w:tr w:rsidR="00000665" w:rsidRPr="00000665">
                    <w:trPr>
                      <w:trHeight w:val="20"/>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590001</w:t>
                        </w:r>
                      </w:p>
                    </w:tc>
                    <w:tc>
                      <w:tcPr>
                        <w:tcW w:w="13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 xml:space="preserve">Yenidoğan/Çocuk/ErişkinTedavisel soğutma (Terapötik hipotermi) </w:t>
                        </w:r>
                      </w:p>
                    </w:tc>
                    <w:tc>
                      <w:tcPr>
                        <w:tcW w:w="487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noProof/>
                            <w:sz w:val="18"/>
                            <w:szCs w:val="18"/>
                            <w:lang w:eastAsia="tr-TR"/>
                          </w:rPr>
                        </w:pPr>
                        <w:r w:rsidRPr="00000665">
                          <w:rPr>
                            <w:noProof/>
                            <w:sz w:val="18"/>
                            <w:szCs w:val="18"/>
                            <w:lang w:eastAsia="tr-TR"/>
                          </w:rPr>
                          <w:t xml:space="preserve">Üçüncü seviye yenidoğan/çocuk yoğun bakım ünitesi ile ikinci/üçüncü seviye erişkin yoğun bakım ünitesi olan sağlık hizmeti sunucularında, hipoksik iskemik ensefalopati tanısında veya kardiyopulmoner resusitasyon sonrası spontan sistemik dolaşımın sağlandığı komatöz hastalarda (Glasgow Koma Skalası &lt; 9) İlk 12 saat içinde başlanmak koşuluyla maksimum 72 saat süre ile sadece üçüncü seviye yenidoğan/çocuk yoğun bakım  ile erişkin </w:t>
                        </w:r>
                        <w:r w:rsidRPr="00000665">
                          <w:rPr>
                            <w:noProof/>
                            <w:sz w:val="18"/>
                            <w:szCs w:val="18"/>
                            <w:lang w:eastAsia="tr-TR"/>
                          </w:rPr>
                          <w:lastRenderedPageBreak/>
                          <w:t>ikinci/üçüncü seviye yoğun bakımlarda uygulanır. Aynı yatış döneminde en fazla üç defa yenidoğan/çocuk veya erişkin yoğun bakım işlem puanına ilave olarak faturalandırılır.</w:t>
                        </w:r>
                      </w:p>
                    </w:tc>
                    <w:tc>
                      <w:tcPr>
                        <w:tcW w:w="142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lastRenderedPageBreak/>
                          <w:t>151,92</w:t>
                        </w:r>
                      </w:p>
                    </w:tc>
                  </w:tr>
                  <w:tr w:rsidR="00000665" w:rsidRPr="00000665">
                    <w:trPr>
                      <w:trHeight w:val="20"/>
                      <w:jc w:val="center"/>
                    </w:trPr>
                    <w:tc>
                      <w:tcPr>
                        <w:tcW w:w="89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lastRenderedPageBreak/>
                          <w:t>700210</w:t>
                        </w:r>
                      </w:p>
                    </w:tc>
                    <w:tc>
                      <w:tcPr>
                        <w:tcW w:w="13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İntralezyoner enjeksiyon, bir seans günlük</w:t>
                        </w:r>
                      </w:p>
                    </w:tc>
                    <w:tc>
                      <w:tcPr>
                        <w:tcW w:w="487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ind w:firstLineChars="100" w:firstLine="180"/>
                          <w:rPr>
                            <w:noProof/>
                            <w:sz w:val="18"/>
                            <w:szCs w:val="18"/>
                            <w:lang w:eastAsia="tr-TR"/>
                          </w:rPr>
                        </w:pPr>
                        <w:r w:rsidRPr="00000665">
                          <w:rPr>
                            <w:noProof/>
                            <w:sz w:val="18"/>
                            <w:szCs w:val="18"/>
                            <w:lang w:eastAsia="tr-TR"/>
                          </w:rPr>
                          <w:t>Kortikosteroit, bleomycin, vs.</w:t>
                        </w:r>
                      </w:p>
                    </w:tc>
                    <w:tc>
                      <w:tcPr>
                        <w:tcW w:w="142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15,01</w:t>
                        </w:r>
                      </w:p>
                    </w:tc>
                  </w:tr>
                  <w:tr w:rsidR="00000665" w:rsidRPr="00000665">
                    <w:trPr>
                      <w:trHeight w:val="20"/>
                      <w:jc w:val="center"/>
                    </w:trPr>
                    <w:tc>
                      <w:tcPr>
                        <w:tcW w:w="895" w:type="dxa"/>
                        <w:tcBorders>
                          <w:top w:val="single" w:sz="4" w:space="0" w:color="auto"/>
                          <w:left w:val="single" w:sz="4" w:space="0" w:color="auto"/>
                          <w:bottom w:val="single" w:sz="4" w:space="0" w:color="auto"/>
                          <w:right w:val="single" w:sz="4" w:space="0" w:color="auto"/>
                        </w:tcBorders>
                        <w:vAlign w:val="center"/>
                      </w:tcPr>
                      <w:p w:rsidR="00000665" w:rsidRPr="00000665" w:rsidRDefault="00000665" w:rsidP="00000665">
                        <w:pPr>
                          <w:spacing w:line="240" w:lineRule="exact"/>
                          <w:jc w:val="center"/>
                          <w:rPr>
                            <w:noProof/>
                            <w:sz w:val="2"/>
                            <w:szCs w:val="18"/>
                            <w:lang w:eastAsia="tr-TR"/>
                          </w:rPr>
                        </w:pPr>
                      </w:p>
                    </w:tc>
                    <w:tc>
                      <w:tcPr>
                        <w:tcW w:w="13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PSİKİYATRİK ÇALIŞMALAR</w:t>
                        </w:r>
                      </w:p>
                    </w:tc>
                    <w:tc>
                      <w:tcPr>
                        <w:tcW w:w="487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ind w:firstLineChars="100" w:firstLine="180"/>
                          <w:jc w:val="both"/>
                          <w:rPr>
                            <w:noProof/>
                            <w:sz w:val="18"/>
                            <w:szCs w:val="18"/>
                            <w:lang w:eastAsia="tr-TR"/>
                          </w:rPr>
                        </w:pPr>
                        <w:r w:rsidRPr="00000665">
                          <w:rPr>
                            <w:noProof/>
                            <w:sz w:val="18"/>
                            <w:szCs w:val="18"/>
                            <w:lang w:eastAsia="tr-TR"/>
                          </w:rPr>
                          <w:t xml:space="preserve">702.660-702.810 arası çalışmalar Ruh Sağlığı ve Hastalıkları uzman hekimi bulunan sağlık hizmeti sunucularınca yapıldığında faturalandırılır. Resmi psikiyatri dal hastanelerinde ve Sağlık Bakanlığı ile 3.basamak sağlık hizmeti sunucuları bünyesindeki AMATEM/ÇEMATEM Merkezlerinde yapılan işlem puanlarına % 30 ilave edilir.  </w:t>
                        </w:r>
                      </w:p>
                    </w:tc>
                    <w:tc>
                      <w:tcPr>
                        <w:tcW w:w="1424" w:type="dxa"/>
                        <w:tcBorders>
                          <w:top w:val="single" w:sz="4" w:space="0" w:color="auto"/>
                          <w:left w:val="single" w:sz="4" w:space="0" w:color="auto"/>
                          <w:bottom w:val="single" w:sz="4" w:space="0" w:color="auto"/>
                          <w:right w:val="single" w:sz="4" w:space="0" w:color="auto"/>
                        </w:tcBorders>
                        <w:vAlign w:val="center"/>
                      </w:tcPr>
                      <w:p w:rsidR="00000665" w:rsidRPr="00000665" w:rsidRDefault="00000665" w:rsidP="00000665">
                        <w:pPr>
                          <w:spacing w:line="240" w:lineRule="exact"/>
                          <w:jc w:val="center"/>
                          <w:rPr>
                            <w:noProof/>
                            <w:sz w:val="2"/>
                            <w:szCs w:val="18"/>
                            <w:lang w:eastAsia="tr-TR"/>
                          </w:rPr>
                        </w:pP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20 –</w:t>
                  </w:r>
                  <w:r w:rsidRPr="00000665">
                    <w:rPr>
                      <w:sz w:val="18"/>
                      <w:szCs w:val="18"/>
                      <w:lang w:val="tr-TR" w:eastAsia="tr-TR"/>
                    </w:rPr>
                    <w:t xml:space="preserve"> Aynı Tebliğ eki “Tanıya Dayalı İşlem Puan Listesi” </w:t>
                  </w:r>
                  <w:proofErr w:type="spellStart"/>
                  <w:r w:rsidRPr="00000665">
                    <w:rPr>
                      <w:sz w:val="18"/>
                      <w:szCs w:val="18"/>
                      <w:lang w:val="tr-TR" w:eastAsia="tr-TR"/>
                    </w:rPr>
                    <w:t>nde</w:t>
                  </w:r>
                  <w:proofErr w:type="spellEnd"/>
                  <w:r w:rsidRPr="00000665">
                    <w:rPr>
                      <w:sz w:val="18"/>
                      <w:szCs w:val="18"/>
                      <w:lang w:val="tr-TR" w:eastAsia="tr-TR"/>
                    </w:rPr>
                    <w:t xml:space="preserve"> (EK-2/C) açıklama bölümünde değişiklik yapılan işlemler aşağıdaki tabloda belirtilmiştir.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33"/>
                    <w:gridCol w:w="2037"/>
                    <w:gridCol w:w="3326"/>
                    <w:gridCol w:w="960"/>
                    <w:gridCol w:w="306"/>
                    <w:gridCol w:w="943"/>
                  </w:tblGrid>
                  <w:tr w:rsidR="00000665" w:rsidRPr="00000665">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PAKET KODU</w:t>
                        </w:r>
                      </w:p>
                    </w:tc>
                    <w:tc>
                      <w:tcPr>
                        <w:tcW w:w="2268"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İŞLEM ADI</w:t>
                        </w:r>
                      </w:p>
                    </w:tc>
                    <w:tc>
                      <w:tcPr>
                        <w:tcW w:w="3827"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AÇIKLAMA</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İŞLEM GRUBU</w:t>
                        </w:r>
                      </w:p>
                    </w:tc>
                    <w:tc>
                      <w:tcPr>
                        <w:tcW w:w="28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noProof/>
                            <w:sz w:val="18"/>
                            <w:szCs w:val="18"/>
                            <w:lang w:eastAsia="tr-TR"/>
                          </w:rPr>
                        </w:pPr>
                        <w:r w:rsidRPr="00000665">
                          <w:rPr>
                            <w:b/>
                            <w:noProof/>
                            <w:sz w:val="18"/>
                            <w:szCs w:val="18"/>
                            <w:lang w:eastAsia="tr-TR"/>
                          </w:rPr>
                          <w:t>İŞLEM PUANI</w:t>
                        </w:r>
                      </w:p>
                    </w:tc>
                  </w:tr>
                  <w:tr w:rsidR="00000665" w:rsidRPr="00000665">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P608960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Wedge rezeksiyon, tek veya çok sayıda</w:t>
                        </w:r>
                      </w:p>
                    </w:tc>
                    <w:tc>
                      <w:tcPr>
                        <w:tcW w:w="3827"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P608860 ile birlikte faturalandırılmaz.Aynı faturada bir defadan fazla kodlanmaz.</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B</w:t>
                        </w:r>
                      </w:p>
                    </w:tc>
                    <w:tc>
                      <w:tcPr>
                        <w:tcW w:w="28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2429,34</w:t>
                        </w:r>
                      </w:p>
                    </w:tc>
                  </w:tr>
                  <w:tr w:rsidR="00000665" w:rsidRPr="00000665">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P609070</w:t>
                        </w:r>
                      </w:p>
                    </w:tc>
                    <w:tc>
                      <w:tcPr>
                        <w:tcW w:w="2268"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 xml:space="preserve">Karaciğer segmentektomi, her bir segment </w:t>
                        </w:r>
                      </w:p>
                    </w:tc>
                    <w:tc>
                      <w:tcPr>
                        <w:tcW w:w="3827"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Patoloji raporu ile segmentektominin teyidi gerekir. Üçten fazla olması halinde P609110 üzerinden faturalandırılır.</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A3</w:t>
                        </w:r>
                      </w:p>
                    </w:tc>
                    <w:tc>
                      <w:tcPr>
                        <w:tcW w:w="28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 </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4788,21</w:t>
                        </w:r>
                      </w:p>
                    </w:tc>
                  </w:tr>
                  <w:tr w:rsidR="00000665" w:rsidRPr="00000665">
                    <w:trPr>
                      <w:trHeight w:val="20"/>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P609071</w:t>
                        </w:r>
                      </w:p>
                    </w:tc>
                    <w:tc>
                      <w:tcPr>
                        <w:tcW w:w="2268"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Karaciğer segmentektomi, her birsegment, laparoskopik</w:t>
                        </w:r>
                      </w:p>
                    </w:tc>
                    <w:tc>
                      <w:tcPr>
                        <w:tcW w:w="3827"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noProof/>
                            <w:sz w:val="18"/>
                            <w:szCs w:val="18"/>
                            <w:lang w:eastAsia="tr-TR"/>
                          </w:rPr>
                        </w:pPr>
                        <w:r w:rsidRPr="00000665">
                          <w:rPr>
                            <w:noProof/>
                            <w:sz w:val="18"/>
                            <w:szCs w:val="18"/>
                            <w:lang w:eastAsia="tr-TR"/>
                          </w:rPr>
                          <w:t>Patoloji raporu ile segmentektominin teyidi gerekir. Üçten fazla olması halinde P609111 üzerinden faturalandırılır. Tüm malzemeler dahil.</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A3</w:t>
                        </w:r>
                      </w:p>
                    </w:tc>
                    <w:tc>
                      <w:tcPr>
                        <w:tcW w:w="28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w:t>
                        </w:r>
                      </w:p>
                    </w:tc>
                    <w:tc>
                      <w:tcPr>
                        <w:tcW w:w="992"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noProof/>
                            <w:sz w:val="18"/>
                            <w:szCs w:val="18"/>
                            <w:lang w:eastAsia="tr-TR"/>
                          </w:rPr>
                        </w:pPr>
                        <w:r w:rsidRPr="00000665">
                          <w:rPr>
                            <w:noProof/>
                            <w:sz w:val="18"/>
                            <w:szCs w:val="18"/>
                            <w:lang w:eastAsia="tr-TR"/>
                          </w:rPr>
                          <w:t>3794,27</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21 –</w:t>
                  </w:r>
                  <w:r w:rsidRPr="00000665">
                    <w:rPr>
                      <w:sz w:val="18"/>
                      <w:szCs w:val="18"/>
                      <w:lang w:val="tr-TR" w:eastAsia="tr-TR"/>
                    </w:rPr>
                    <w:t xml:space="preserve"> Aynı Tebliğin “Birden Fazla Branşta Kullanılan Tıbbi Malzemeler” (EK 3/A) Listesinde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“OR2640” SUT kodlu tıbbi malzeme aşağıdaki şekilde yeniden düzenlenmiştir.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107"/>
                    <w:gridCol w:w="2675"/>
                    <w:gridCol w:w="3876"/>
                    <w:gridCol w:w="847"/>
                  </w:tblGrid>
                  <w:tr w:rsidR="00000665" w:rsidRPr="00000665">
                    <w:trPr>
                      <w:trHeight w:val="20"/>
                      <w:jc w:val="center"/>
                    </w:trPr>
                    <w:tc>
                      <w:tcPr>
                        <w:tcW w:w="1107"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SUT KODU</w:t>
                        </w:r>
                      </w:p>
                    </w:tc>
                    <w:tc>
                      <w:tcPr>
                        <w:tcW w:w="2970"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TIBBİ MALZEME ALAN TANIMI</w:t>
                        </w:r>
                      </w:p>
                    </w:tc>
                    <w:tc>
                      <w:tcPr>
                        <w:tcW w:w="436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AÇIKLAMA</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rPr>
                            <w:b/>
                            <w:noProof/>
                            <w:sz w:val="18"/>
                            <w:szCs w:val="18"/>
                            <w:lang w:eastAsia="tr-TR"/>
                          </w:rPr>
                        </w:pPr>
                        <w:r w:rsidRPr="00000665">
                          <w:rPr>
                            <w:b/>
                            <w:noProof/>
                            <w:sz w:val="18"/>
                            <w:szCs w:val="18"/>
                            <w:lang w:eastAsia="tr-TR"/>
                          </w:rPr>
                          <w:t>FİYATI</w:t>
                        </w:r>
                      </w:p>
                    </w:tc>
                  </w:tr>
                  <w:tr w:rsidR="00000665" w:rsidRPr="00000665">
                    <w:trPr>
                      <w:trHeight w:val="20"/>
                      <w:jc w:val="center"/>
                    </w:trPr>
                    <w:tc>
                      <w:tcPr>
                        <w:tcW w:w="1107"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OR2640</w:t>
                        </w:r>
                      </w:p>
                    </w:tc>
                    <w:tc>
                      <w:tcPr>
                        <w:tcW w:w="2970"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0" w:lineRule="atLeast"/>
                          <w:jc w:val="both"/>
                          <w:rPr>
                            <w:sz w:val="18"/>
                            <w:szCs w:val="18"/>
                            <w:lang w:val="tr-TR" w:eastAsia="tr-TR"/>
                          </w:rPr>
                        </w:pPr>
                        <w:r w:rsidRPr="00000665">
                          <w:rPr>
                            <w:sz w:val="18"/>
                            <w:szCs w:val="18"/>
                            <w:lang w:val="tr-TR" w:eastAsia="tr-TR"/>
                          </w:rPr>
                          <w:t>İNSİZYONEL KATETER SETİ, GÜMÜŞ KAPLI, HOMOJEN DAĞILIMLI</w:t>
                        </w:r>
                      </w:p>
                    </w:tc>
                    <w:tc>
                      <w:tcPr>
                        <w:tcW w:w="4364"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40" w:lineRule="exact"/>
                          <w:rPr>
                            <w:sz w:val="18"/>
                            <w:szCs w:val="18"/>
                            <w:lang w:val="tr-TR" w:eastAsia="tr-TR"/>
                          </w:rPr>
                        </w:pPr>
                        <w:r w:rsidRPr="00000665">
                          <w:rPr>
                            <w:sz w:val="18"/>
                            <w:szCs w:val="18"/>
                            <w:lang w:val="tr-TR" w:eastAsia="tr-TR"/>
                          </w:rPr>
                          <w:t>(1) Tanıya dayalı işlemlerde ayrıca faturalandırılabilir</w:t>
                        </w:r>
                      </w:p>
                      <w:p w:rsidR="00000665" w:rsidRPr="00000665" w:rsidRDefault="00000665" w:rsidP="00000665">
                        <w:pPr>
                          <w:spacing w:line="20" w:lineRule="atLeast"/>
                          <w:rPr>
                            <w:sz w:val="18"/>
                            <w:szCs w:val="18"/>
                            <w:lang w:val="tr-TR" w:eastAsia="tr-TR"/>
                          </w:rPr>
                        </w:pPr>
                        <w:r w:rsidRPr="00000665">
                          <w:rPr>
                            <w:sz w:val="18"/>
                            <w:szCs w:val="18"/>
                            <w:lang w:val="tr-TR" w:eastAsia="tr-TR"/>
                          </w:rPr>
                          <w:t>(2) Aynı yatış döneminde en fazla bir adet faturalandırılabilir.</w:t>
                        </w:r>
                      </w:p>
                    </w:tc>
                    <w:tc>
                      <w:tcPr>
                        <w:tcW w:w="847"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950,00</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“KANAMA DURDURMADA KULLANILAN TIBBİ MALZEMELER” başlığının altındaki ödeme kriterleri ve/veya kurallarında yer alan “3.1.29” ibaresi “3.3.29”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c) “VÜCUT DIŞI KANAMA DURDURMADA KULLANILAN TIBBİ MALZEMELER” başlığı, “KANAMA DURDURMADA KULLANILAN EMİLEMEYEN TIBBİ MALZEMELER”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lastRenderedPageBreak/>
                    <w:t>ç)  “ENDOSKOPİK/CERRAHİ ALANDA KULLANILAN KANAMA DURDURMADA KULLANILAN TIBBİ MALZEMELER” başlığı, “KANAMA DURDURMADA KULLANILAN EMİLEBİLEN TIBBİ MALZEMELER” olarak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d) “OR4370”, “OR4380”, “OR4390” SUT kodlu tıbbi malzemeler aşağıdaki şekilde yeniden düzenlenmiştir.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tblPr>
                  <w:tblGrid>
                    <w:gridCol w:w="1134"/>
                    <w:gridCol w:w="5006"/>
                    <w:gridCol w:w="1209"/>
                    <w:gridCol w:w="1156"/>
                  </w:tblGrid>
                  <w:tr w:rsidR="00000665" w:rsidRPr="00000665">
                    <w:trPr>
                      <w:trHeight w:val="2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jc w:val="both"/>
                          <w:rPr>
                            <w:b/>
                            <w:sz w:val="18"/>
                            <w:szCs w:val="18"/>
                            <w:lang w:val="tr-TR" w:eastAsia="tr-TR"/>
                          </w:rPr>
                        </w:pPr>
                        <w:r w:rsidRPr="00000665">
                          <w:rPr>
                            <w:b/>
                            <w:sz w:val="18"/>
                            <w:szCs w:val="18"/>
                            <w:lang w:val="tr-TR" w:eastAsia="tr-TR"/>
                          </w:rPr>
                          <w:t>SUT KODU</w:t>
                        </w:r>
                      </w:p>
                    </w:tc>
                    <w:tc>
                      <w:tcPr>
                        <w:tcW w:w="550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sz w:val="18"/>
                            <w:szCs w:val="18"/>
                            <w:lang w:val="tr-TR" w:eastAsia="tr-TR"/>
                          </w:rPr>
                        </w:pPr>
                        <w:r w:rsidRPr="00000665">
                          <w:rPr>
                            <w:b/>
                            <w:sz w:val="18"/>
                            <w:szCs w:val="18"/>
                            <w:lang w:val="tr-TR" w:eastAsia="tr-TR"/>
                          </w:rPr>
                          <w:t>TIBBİ MALZEME ALAN TANIMI</w:t>
                        </w:r>
                      </w:p>
                    </w:tc>
                    <w:tc>
                      <w:tcPr>
                        <w:tcW w:w="1217"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b/>
                            <w:sz w:val="18"/>
                            <w:szCs w:val="18"/>
                            <w:lang w:val="tr-TR" w:eastAsia="tr-TR"/>
                          </w:rPr>
                        </w:pPr>
                        <w:r w:rsidRPr="00000665">
                          <w:rPr>
                            <w:b/>
                            <w:sz w:val="18"/>
                            <w:szCs w:val="18"/>
                            <w:lang w:val="tr-TR" w:eastAsia="tr-TR"/>
                          </w:rPr>
                          <w:t>AÇIKLAMA</w:t>
                        </w:r>
                      </w:p>
                    </w:tc>
                    <w:tc>
                      <w:tcPr>
                        <w:tcW w:w="121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b/>
                            <w:sz w:val="18"/>
                            <w:szCs w:val="18"/>
                            <w:lang w:val="tr-TR" w:eastAsia="tr-TR"/>
                          </w:rPr>
                        </w:pPr>
                        <w:r w:rsidRPr="00000665">
                          <w:rPr>
                            <w:b/>
                            <w:sz w:val="18"/>
                            <w:szCs w:val="18"/>
                            <w:lang w:val="tr-TR" w:eastAsia="tr-TR"/>
                          </w:rPr>
                          <w:t>FİYATI</w:t>
                        </w:r>
                      </w:p>
                    </w:tc>
                  </w:tr>
                  <w:tr w:rsidR="00000665" w:rsidRPr="00000665">
                    <w:trPr>
                      <w:trHeight w:val="2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OR4370</w:t>
                        </w:r>
                      </w:p>
                    </w:tc>
                    <w:tc>
                      <w:tcPr>
                        <w:tcW w:w="550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 xml:space="preserve">BİTKİSEL HEMOSTATİK LİKİT/HEMOSTATİK ETKEN İÇEREN, TAMPON FORMU, 100 cm2'den büyük (Bitkisel </w:t>
                        </w:r>
                        <w:proofErr w:type="spellStart"/>
                        <w:r w:rsidRPr="00000665">
                          <w:rPr>
                            <w:sz w:val="18"/>
                            <w:szCs w:val="18"/>
                            <w:lang w:val="tr-TR" w:eastAsia="tr-TR"/>
                          </w:rPr>
                          <w:t>hemostatik</w:t>
                        </w:r>
                        <w:proofErr w:type="spellEnd"/>
                        <w:r w:rsidRPr="00000665">
                          <w:rPr>
                            <w:sz w:val="18"/>
                            <w:szCs w:val="18"/>
                            <w:lang w:val="tr-TR" w:eastAsia="tr-TR"/>
                          </w:rPr>
                          <w:t xml:space="preserve"> likit içeren ürünler için etken miktarı en az 10 </w:t>
                        </w:r>
                        <w:proofErr w:type="spellStart"/>
                        <w:r w:rsidRPr="00000665">
                          <w:rPr>
                            <w:sz w:val="18"/>
                            <w:szCs w:val="18"/>
                            <w:lang w:val="tr-TR" w:eastAsia="tr-TR"/>
                          </w:rPr>
                          <w:t>cc</w:t>
                        </w:r>
                        <w:proofErr w:type="spellEnd"/>
                        <w:r w:rsidRPr="00000665">
                          <w:rPr>
                            <w:sz w:val="18"/>
                            <w:szCs w:val="18"/>
                            <w:lang w:val="tr-TR" w:eastAsia="tr-TR"/>
                          </w:rPr>
                          <w:t xml:space="preserve"> olmalıdır.)</w:t>
                        </w:r>
                      </w:p>
                    </w:tc>
                    <w:tc>
                      <w:tcPr>
                        <w:tcW w:w="1217" w:type="dxa"/>
                        <w:tcBorders>
                          <w:top w:val="single" w:sz="4" w:space="0" w:color="auto"/>
                          <w:left w:val="single" w:sz="4" w:space="0" w:color="auto"/>
                          <w:bottom w:val="single" w:sz="4" w:space="0" w:color="auto"/>
                          <w:right w:val="single" w:sz="4" w:space="0" w:color="auto"/>
                        </w:tcBorders>
                      </w:tcPr>
                      <w:p w:rsidR="00000665" w:rsidRPr="00000665" w:rsidRDefault="00000665" w:rsidP="00000665">
                        <w:pPr>
                          <w:spacing w:line="240" w:lineRule="exact"/>
                          <w:rPr>
                            <w:sz w:val="2"/>
                            <w:szCs w:val="18"/>
                            <w:lang w:val="tr-TR" w:eastAsia="tr-TR"/>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148,00</w:t>
                        </w:r>
                      </w:p>
                    </w:tc>
                  </w:tr>
                  <w:tr w:rsidR="00000665" w:rsidRPr="00000665">
                    <w:trPr>
                      <w:trHeight w:val="2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OR4380</w:t>
                        </w:r>
                      </w:p>
                    </w:tc>
                    <w:tc>
                      <w:tcPr>
                        <w:tcW w:w="550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 xml:space="preserve">BİTKİSEL HEMOSTATİK LİKİT/HEMOSTATİK ETKEN İÇEREN, TAMPON FORMU, (100 cm2'den küçük) (Bitkisel </w:t>
                        </w:r>
                        <w:proofErr w:type="spellStart"/>
                        <w:r w:rsidRPr="00000665">
                          <w:rPr>
                            <w:sz w:val="18"/>
                            <w:szCs w:val="18"/>
                            <w:lang w:val="tr-TR" w:eastAsia="tr-TR"/>
                          </w:rPr>
                          <w:t>hemostatik</w:t>
                        </w:r>
                        <w:proofErr w:type="spellEnd"/>
                        <w:r w:rsidRPr="00000665">
                          <w:rPr>
                            <w:sz w:val="18"/>
                            <w:szCs w:val="18"/>
                            <w:lang w:val="tr-TR" w:eastAsia="tr-TR"/>
                          </w:rPr>
                          <w:t xml:space="preserve"> likit içeren ürünler için etken miktarı en az 5cc olmalıdır.)</w:t>
                        </w:r>
                      </w:p>
                    </w:tc>
                    <w:tc>
                      <w:tcPr>
                        <w:tcW w:w="1217" w:type="dxa"/>
                        <w:tcBorders>
                          <w:top w:val="single" w:sz="4" w:space="0" w:color="auto"/>
                          <w:left w:val="single" w:sz="4" w:space="0" w:color="auto"/>
                          <w:bottom w:val="single" w:sz="4" w:space="0" w:color="auto"/>
                          <w:right w:val="single" w:sz="4" w:space="0" w:color="auto"/>
                        </w:tcBorders>
                      </w:tcPr>
                      <w:p w:rsidR="00000665" w:rsidRPr="00000665" w:rsidRDefault="00000665" w:rsidP="00000665">
                        <w:pPr>
                          <w:spacing w:line="240" w:lineRule="exact"/>
                          <w:rPr>
                            <w:sz w:val="2"/>
                            <w:szCs w:val="18"/>
                            <w:lang w:val="tr-TR" w:eastAsia="tr-TR"/>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75,00</w:t>
                        </w:r>
                      </w:p>
                    </w:tc>
                  </w:tr>
                  <w:tr w:rsidR="00000665" w:rsidRPr="00000665">
                    <w:trPr>
                      <w:trHeight w:val="2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OR4390</w:t>
                        </w:r>
                      </w:p>
                    </w:tc>
                    <w:tc>
                      <w:tcPr>
                        <w:tcW w:w="5505"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 xml:space="preserve">BİTKİSEL HEMOSTATİK LİKİT/HEMOSTATİK ETKEN İÇEREN, TAMPON FORMU, (100 cm2'den küçük) (Bitkisel </w:t>
                        </w:r>
                        <w:proofErr w:type="spellStart"/>
                        <w:r w:rsidRPr="00000665">
                          <w:rPr>
                            <w:sz w:val="18"/>
                            <w:szCs w:val="18"/>
                            <w:lang w:val="tr-TR" w:eastAsia="tr-TR"/>
                          </w:rPr>
                          <w:t>hemostatik</w:t>
                        </w:r>
                        <w:proofErr w:type="spellEnd"/>
                        <w:r w:rsidRPr="00000665">
                          <w:rPr>
                            <w:sz w:val="18"/>
                            <w:szCs w:val="18"/>
                            <w:lang w:val="tr-TR" w:eastAsia="tr-TR"/>
                          </w:rPr>
                          <w:t xml:space="preserve"> likit içeren ürünler için etken miktarı en az 3 </w:t>
                        </w:r>
                        <w:proofErr w:type="spellStart"/>
                        <w:r w:rsidRPr="00000665">
                          <w:rPr>
                            <w:sz w:val="18"/>
                            <w:szCs w:val="18"/>
                            <w:lang w:val="tr-TR" w:eastAsia="tr-TR"/>
                          </w:rPr>
                          <w:t>cc</w:t>
                        </w:r>
                        <w:proofErr w:type="spellEnd"/>
                        <w:r w:rsidRPr="00000665">
                          <w:rPr>
                            <w:sz w:val="18"/>
                            <w:szCs w:val="18"/>
                            <w:lang w:val="tr-TR" w:eastAsia="tr-TR"/>
                          </w:rPr>
                          <w:t xml:space="preserve"> olmalıdır.)</w:t>
                        </w:r>
                      </w:p>
                    </w:tc>
                    <w:tc>
                      <w:tcPr>
                        <w:tcW w:w="1217" w:type="dxa"/>
                        <w:tcBorders>
                          <w:top w:val="single" w:sz="4" w:space="0" w:color="auto"/>
                          <w:left w:val="single" w:sz="4" w:space="0" w:color="auto"/>
                          <w:bottom w:val="single" w:sz="4" w:space="0" w:color="auto"/>
                          <w:right w:val="single" w:sz="4" w:space="0" w:color="auto"/>
                        </w:tcBorders>
                      </w:tcPr>
                      <w:p w:rsidR="00000665" w:rsidRPr="00000665" w:rsidRDefault="00000665" w:rsidP="00000665">
                        <w:pPr>
                          <w:spacing w:line="240" w:lineRule="exact"/>
                          <w:rPr>
                            <w:sz w:val="2"/>
                            <w:szCs w:val="18"/>
                            <w:lang w:val="tr-TR" w:eastAsia="tr-TR"/>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45,00</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e)  “OR4680” SUT kodlu tıbbi malzemeden sonra gelmek üzere başlığı ile beraber aşağıdaki SUT kodlu tıbbi malzeme eklenmiştir.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CellMar>
                      <w:left w:w="70" w:type="dxa"/>
                      <w:right w:w="70" w:type="dxa"/>
                    </w:tblCellMar>
                    <w:tblLook w:val="00A0"/>
                  </w:tblPr>
                  <w:tblGrid>
                    <w:gridCol w:w="1134"/>
                    <w:gridCol w:w="3419"/>
                    <w:gridCol w:w="1735"/>
                    <w:gridCol w:w="2217"/>
                  </w:tblGrid>
                  <w:tr w:rsidR="00000665" w:rsidRPr="00000665">
                    <w:trPr>
                      <w:trHeight w:val="2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jc w:val="center"/>
                          <w:rPr>
                            <w:b/>
                            <w:sz w:val="18"/>
                            <w:szCs w:val="18"/>
                            <w:lang w:val="tr-TR" w:eastAsia="tr-TR"/>
                          </w:rPr>
                        </w:pPr>
                        <w:r w:rsidRPr="00000665">
                          <w:rPr>
                            <w:b/>
                            <w:sz w:val="18"/>
                            <w:szCs w:val="18"/>
                            <w:lang w:val="tr-TR" w:eastAsia="tr-TR"/>
                          </w:rPr>
                          <w:t>SUT KODU</w:t>
                        </w:r>
                      </w:p>
                    </w:tc>
                    <w:tc>
                      <w:tcPr>
                        <w:tcW w:w="3828"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b/>
                            <w:sz w:val="18"/>
                            <w:szCs w:val="18"/>
                            <w:lang w:val="tr-TR" w:eastAsia="tr-TR"/>
                          </w:rPr>
                        </w:pPr>
                        <w:r w:rsidRPr="00000665">
                          <w:rPr>
                            <w:b/>
                            <w:sz w:val="18"/>
                            <w:szCs w:val="18"/>
                            <w:lang w:val="tr-TR" w:eastAsia="tr-TR"/>
                          </w:rPr>
                          <w:t>TIBBİ MALZEME ALAN TANIMI</w:t>
                        </w:r>
                      </w:p>
                    </w:tc>
                    <w:tc>
                      <w:tcPr>
                        <w:tcW w:w="1893"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b/>
                            <w:sz w:val="18"/>
                            <w:szCs w:val="18"/>
                            <w:lang w:val="tr-TR" w:eastAsia="tr-TR"/>
                          </w:rPr>
                        </w:pPr>
                        <w:r w:rsidRPr="00000665">
                          <w:rPr>
                            <w:b/>
                            <w:sz w:val="18"/>
                            <w:szCs w:val="18"/>
                            <w:lang w:val="tr-TR" w:eastAsia="tr-TR"/>
                          </w:rPr>
                          <w:t>AÇIKLAMA</w:t>
                        </w:r>
                      </w:p>
                    </w:tc>
                    <w:tc>
                      <w:tcPr>
                        <w:tcW w:w="2217" w:type="dxa"/>
                        <w:tcBorders>
                          <w:top w:val="single" w:sz="4" w:space="0" w:color="auto"/>
                          <w:left w:val="nil"/>
                          <w:bottom w:val="single" w:sz="4" w:space="0" w:color="auto"/>
                          <w:right w:val="single" w:sz="4" w:space="0" w:color="auto"/>
                        </w:tcBorders>
                        <w:noWrap/>
                        <w:vAlign w:val="center"/>
                        <w:hideMark/>
                      </w:tcPr>
                      <w:p w:rsidR="00000665" w:rsidRPr="00000665" w:rsidRDefault="00000665" w:rsidP="00000665">
                        <w:pPr>
                          <w:spacing w:line="20" w:lineRule="atLeast"/>
                          <w:jc w:val="center"/>
                          <w:rPr>
                            <w:b/>
                            <w:sz w:val="18"/>
                            <w:szCs w:val="18"/>
                            <w:lang w:val="tr-TR" w:eastAsia="tr-TR"/>
                          </w:rPr>
                        </w:pPr>
                        <w:r w:rsidRPr="00000665">
                          <w:rPr>
                            <w:b/>
                            <w:sz w:val="18"/>
                            <w:szCs w:val="18"/>
                            <w:lang w:val="tr-TR" w:eastAsia="tr-TR"/>
                          </w:rPr>
                          <w:t>FİYATI</w:t>
                        </w:r>
                      </w:p>
                    </w:tc>
                  </w:tr>
                  <w:tr w:rsidR="00000665" w:rsidRPr="00000665">
                    <w:trPr>
                      <w:trHeight w:val="20"/>
                      <w:jc w:val="center"/>
                    </w:trPr>
                    <w:tc>
                      <w:tcPr>
                        <w:tcW w:w="1134" w:type="dxa"/>
                        <w:tcBorders>
                          <w:top w:val="single" w:sz="4" w:space="0" w:color="auto"/>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 </w:t>
                        </w:r>
                      </w:p>
                    </w:tc>
                    <w:tc>
                      <w:tcPr>
                        <w:tcW w:w="3828"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rPr>
                            <w:b/>
                            <w:sz w:val="18"/>
                            <w:szCs w:val="18"/>
                            <w:lang w:val="tr-TR" w:eastAsia="tr-TR"/>
                          </w:rPr>
                        </w:pPr>
                        <w:r w:rsidRPr="00000665">
                          <w:rPr>
                            <w:b/>
                            <w:sz w:val="18"/>
                            <w:szCs w:val="18"/>
                            <w:lang w:val="tr-TR" w:eastAsia="tr-TR"/>
                          </w:rPr>
                          <w:t>DERİ HASTALIKLARINDA YARA BAKIMI</w:t>
                        </w:r>
                      </w:p>
                    </w:tc>
                    <w:tc>
                      <w:tcPr>
                        <w:tcW w:w="1893"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 </w:t>
                        </w:r>
                      </w:p>
                    </w:tc>
                    <w:tc>
                      <w:tcPr>
                        <w:tcW w:w="2217" w:type="dxa"/>
                        <w:tcBorders>
                          <w:top w:val="single" w:sz="4" w:space="0" w:color="auto"/>
                          <w:left w:val="nil"/>
                          <w:bottom w:val="single" w:sz="4" w:space="0" w:color="auto"/>
                          <w:right w:val="single" w:sz="4" w:space="0" w:color="auto"/>
                        </w:tcBorders>
                        <w:noWrap/>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 </w:t>
                        </w:r>
                      </w:p>
                    </w:tc>
                  </w:tr>
                  <w:tr w:rsidR="00000665" w:rsidRPr="00000665">
                    <w:trPr>
                      <w:trHeight w:val="20"/>
                      <w:jc w:val="center"/>
                    </w:trPr>
                    <w:tc>
                      <w:tcPr>
                        <w:tcW w:w="1134" w:type="dxa"/>
                        <w:tcBorders>
                          <w:top w:val="nil"/>
                          <w:left w:val="single" w:sz="4" w:space="0" w:color="auto"/>
                          <w:bottom w:val="single" w:sz="4" w:space="0" w:color="auto"/>
                          <w:right w:val="single" w:sz="4" w:space="0" w:color="auto"/>
                        </w:tcBorders>
                        <w:noWrap/>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OR4685</w:t>
                        </w:r>
                      </w:p>
                    </w:tc>
                    <w:tc>
                      <w:tcPr>
                        <w:tcW w:w="3828"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EPİDERMOLİZİS BÜLLOZA YARA BAKIM SETİ</w:t>
                        </w:r>
                      </w:p>
                    </w:tc>
                    <w:tc>
                      <w:tcPr>
                        <w:tcW w:w="1893"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center"/>
                          <w:rPr>
                            <w:sz w:val="18"/>
                            <w:szCs w:val="18"/>
                            <w:lang w:val="tr-TR" w:eastAsia="tr-TR"/>
                          </w:rPr>
                        </w:pPr>
                        <w:r w:rsidRPr="00000665">
                          <w:rPr>
                            <w:sz w:val="18"/>
                            <w:szCs w:val="18"/>
                            <w:lang w:val="tr-TR" w:eastAsia="tr-TR"/>
                          </w:rPr>
                          <w:t xml:space="preserve">Bkz SUT 3.3.1 (13) </w:t>
                        </w:r>
                      </w:p>
                    </w:tc>
                    <w:tc>
                      <w:tcPr>
                        <w:tcW w:w="2217"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rPr>
                            <w:sz w:val="18"/>
                            <w:szCs w:val="18"/>
                            <w:lang w:val="tr-TR" w:eastAsia="tr-TR"/>
                          </w:rPr>
                        </w:pPr>
                        <w:r w:rsidRPr="00000665">
                          <w:rPr>
                            <w:sz w:val="18"/>
                            <w:szCs w:val="18"/>
                            <w:lang w:val="tr-TR" w:eastAsia="tr-TR"/>
                          </w:rPr>
                          <w:t>İşlem puanına dahildir.</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22 –</w:t>
                  </w:r>
                  <w:r w:rsidRPr="00000665">
                    <w:rPr>
                      <w:sz w:val="18"/>
                      <w:szCs w:val="18"/>
                      <w:lang w:val="tr-TR" w:eastAsia="tr-TR"/>
                    </w:rPr>
                    <w:t xml:space="preserve"> Aynı Tebliğin “Omurga Cerrahisi Alan Grubuna Ait Tıbbi Malzemeler Listesi” </w:t>
                  </w:r>
                  <w:proofErr w:type="spellStart"/>
                  <w:r w:rsidRPr="00000665">
                    <w:rPr>
                      <w:sz w:val="18"/>
                      <w:szCs w:val="18"/>
                      <w:lang w:val="tr-TR" w:eastAsia="tr-TR"/>
                    </w:rPr>
                    <w:t>nden</w:t>
                  </w:r>
                  <w:proofErr w:type="spellEnd"/>
                  <w:r w:rsidRPr="00000665">
                    <w:rPr>
                      <w:sz w:val="18"/>
                      <w:szCs w:val="18"/>
                      <w:lang w:val="tr-TR" w:eastAsia="tr-TR"/>
                    </w:rPr>
                    <w:t xml:space="preserve"> (EK-3/E-1) “103.080” ve “103.085” SUT kodlu tıbbi malzemeler alt satırlarındaki ödeme kriterleri ve/veya kuralları ile birlikte çıkarılmış ve “103.075” SUT kodlu tıbbi malzemenin alt satırındaki ödeme kriterleri ve/veya kurallarından sonra gelmek üzere “103081”, “103082”, “103083” , “103084”  SUT kodlu tıbbi malzemeler aşağıdaki şekilde eklenmiştir.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CellMar>
                      <w:left w:w="70" w:type="dxa"/>
                      <w:right w:w="70" w:type="dxa"/>
                    </w:tblCellMar>
                    <w:tblLook w:val="00A0"/>
                  </w:tblPr>
                  <w:tblGrid>
                    <w:gridCol w:w="957"/>
                    <w:gridCol w:w="6471"/>
                    <w:gridCol w:w="1077"/>
                  </w:tblGrid>
                  <w:tr w:rsidR="00000665" w:rsidRPr="00000665">
                    <w:trPr>
                      <w:trHeight w:val="20"/>
                      <w:jc w:val="center"/>
                    </w:trPr>
                    <w:tc>
                      <w:tcPr>
                        <w:tcW w:w="563" w:type="pct"/>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
                            <w:bCs/>
                            <w:sz w:val="18"/>
                            <w:szCs w:val="18"/>
                            <w:lang w:val="tr-TR" w:eastAsia="tr-TR"/>
                          </w:rPr>
                        </w:pPr>
                        <w:r w:rsidRPr="00000665">
                          <w:rPr>
                            <w:b/>
                            <w:bCs/>
                            <w:sz w:val="18"/>
                            <w:szCs w:val="18"/>
                            <w:lang w:val="tr-TR" w:eastAsia="tr-TR"/>
                          </w:rPr>
                          <w:t>SUT KODU</w:t>
                        </w:r>
                      </w:p>
                    </w:tc>
                    <w:tc>
                      <w:tcPr>
                        <w:tcW w:w="3804" w:type="pct"/>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ind w:firstLine="709"/>
                          <w:jc w:val="center"/>
                          <w:rPr>
                            <w:b/>
                            <w:bCs/>
                            <w:sz w:val="18"/>
                            <w:szCs w:val="18"/>
                            <w:lang w:val="tr-TR" w:eastAsia="tr-TR"/>
                          </w:rPr>
                        </w:pPr>
                        <w:r w:rsidRPr="00000665">
                          <w:rPr>
                            <w:b/>
                            <w:bCs/>
                            <w:sz w:val="18"/>
                            <w:szCs w:val="18"/>
                            <w:lang w:val="tr-TR" w:eastAsia="tr-TR"/>
                          </w:rPr>
                          <w:t>TIBBİ MALZEME ALAN TANIMI</w:t>
                        </w:r>
                      </w:p>
                    </w:tc>
                    <w:tc>
                      <w:tcPr>
                        <w:tcW w:w="633" w:type="pct"/>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b/>
                            <w:bCs/>
                            <w:sz w:val="18"/>
                            <w:szCs w:val="18"/>
                            <w:lang w:val="tr-TR" w:eastAsia="tr-TR"/>
                          </w:rPr>
                        </w:pPr>
                        <w:r w:rsidRPr="00000665">
                          <w:rPr>
                            <w:b/>
                            <w:bCs/>
                            <w:sz w:val="18"/>
                            <w:szCs w:val="18"/>
                            <w:lang w:val="tr-TR" w:eastAsia="tr-TR"/>
                          </w:rPr>
                          <w:t>FİYAT (TL)</w:t>
                        </w:r>
                      </w:p>
                    </w:tc>
                  </w:tr>
                  <w:tr w:rsidR="00000665" w:rsidRPr="00000665">
                    <w:trPr>
                      <w:trHeight w:val="20"/>
                      <w:jc w:val="center"/>
                    </w:trPr>
                    <w:tc>
                      <w:tcPr>
                        <w:tcW w:w="563"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Cs/>
                            <w:sz w:val="18"/>
                            <w:szCs w:val="18"/>
                            <w:lang w:val="tr-TR" w:eastAsia="tr-TR"/>
                          </w:rPr>
                        </w:pPr>
                        <w:r w:rsidRPr="00000665">
                          <w:rPr>
                            <w:bCs/>
                            <w:sz w:val="18"/>
                            <w:szCs w:val="18"/>
                            <w:lang w:val="tr-TR" w:eastAsia="tr-TR"/>
                          </w:rPr>
                          <w:t>103081</w:t>
                        </w:r>
                      </w:p>
                    </w:tc>
                    <w:tc>
                      <w:tcPr>
                        <w:tcW w:w="3804"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PERKÜTAN FASET KOMPRESYON (KİLİTLEME) VİDASI, SERVİKAL</w:t>
                        </w:r>
                      </w:p>
                    </w:tc>
                    <w:tc>
                      <w:tcPr>
                        <w:tcW w:w="633"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right"/>
                          <w:rPr>
                            <w:bCs/>
                            <w:sz w:val="18"/>
                            <w:szCs w:val="18"/>
                            <w:lang w:val="tr-TR" w:eastAsia="tr-TR"/>
                          </w:rPr>
                        </w:pPr>
                        <w:r w:rsidRPr="00000665">
                          <w:rPr>
                            <w:bCs/>
                            <w:sz w:val="18"/>
                            <w:szCs w:val="18"/>
                            <w:lang w:val="tr-TR" w:eastAsia="tr-TR"/>
                          </w:rPr>
                          <w:t>4.140,00</w:t>
                        </w:r>
                      </w:p>
                    </w:tc>
                  </w:tr>
                  <w:tr w:rsidR="00000665" w:rsidRPr="00000665">
                    <w:trPr>
                      <w:trHeight w:val="20"/>
                      <w:jc w:val="center"/>
                    </w:trPr>
                    <w:tc>
                      <w:tcPr>
                        <w:tcW w:w="4367" w:type="pct"/>
                        <w:gridSpan w:val="2"/>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 xml:space="preserve">(1) Sadece </w:t>
                        </w:r>
                        <w:proofErr w:type="spellStart"/>
                        <w:r w:rsidRPr="00000665">
                          <w:rPr>
                            <w:bCs/>
                            <w:sz w:val="18"/>
                            <w:szCs w:val="18"/>
                            <w:lang w:val="tr-TR" w:eastAsia="tr-TR"/>
                          </w:rPr>
                          <w:t>perkütan</w:t>
                        </w:r>
                        <w:proofErr w:type="spellEnd"/>
                        <w:r w:rsidRPr="00000665">
                          <w:rPr>
                            <w:bCs/>
                            <w:sz w:val="18"/>
                            <w:szCs w:val="18"/>
                            <w:lang w:val="tr-TR" w:eastAsia="tr-TR"/>
                          </w:rPr>
                          <w:t xml:space="preserve"> girişimlerde, </w:t>
                        </w:r>
                        <w:proofErr w:type="spellStart"/>
                        <w:r w:rsidRPr="00000665">
                          <w:rPr>
                            <w:bCs/>
                            <w:sz w:val="18"/>
                            <w:szCs w:val="18"/>
                            <w:lang w:val="tr-TR" w:eastAsia="tr-TR"/>
                          </w:rPr>
                          <w:t>servikal</w:t>
                        </w:r>
                        <w:proofErr w:type="spellEnd"/>
                        <w:r w:rsidRPr="00000665">
                          <w:rPr>
                            <w:bCs/>
                            <w:sz w:val="18"/>
                            <w:szCs w:val="18"/>
                            <w:lang w:val="tr-TR" w:eastAsia="tr-TR"/>
                          </w:rPr>
                          <w:t xml:space="preserve"> </w:t>
                        </w:r>
                        <w:proofErr w:type="spellStart"/>
                        <w:r w:rsidRPr="00000665">
                          <w:rPr>
                            <w:bCs/>
                            <w:sz w:val="18"/>
                            <w:szCs w:val="18"/>
                            <w:lang w:val="tr-TR" w:eastAsia="tr-TR"/>
                          </w:rPr>
                          <w:t>instabilite</w:t>
                        </w:r>
                        <w:proofErr w:type="spellEnd"/>
                        <w:r w:rsidRPr="00000665">
                          <w:rPr>
                            <w:bCs/>
                            <w:sz w:val="18"/>
                            <w:szCs w:val="18"/>
                            <w:lang w:val="tr-TR" w:eastAsia="tr-TR"/>
                          </w:rPr>
                          <w:t xml:space="preserve">, faset eklem dejenerasyonu, </w:t>
                        </w:r>
                        <w:proofErr w:type="spellStart"/>
                        <w:r w:rsidRPr="00000665">
                          <w:rPr>
                            <w:bCs/>
                            <w:sz w:val="18"/>
                            <w:szCs w:val="18"/>
                            <w:lang w:val="tr-TR" w:eastAsia="tr-TR"/>
                          </w:rPr>
                          <w:t>disfonksiyonuna</w:t>
                        </w:r>
                        <w:proofErr w:type="spellEnd"/>
                        <w:r w:rsidRPr="00000665">
                          <w:rPr>
                            <w:bCs/>
                            <w:sz w:val="18"/>
                            <w:szCs w:val="18"/>
                            <w:lang w:val="tr-TR" w:eastAsia="tr-TR"/>
                          </w:rPr>
                          <w:t xml:space="preserve"> bağlı dirençli ağrılarda, </w:t>
                        </w:r>
                        <w:proofErr w:type="spellStart"/>
                        <w:r w:rsidRPr="00000665">
                          <w:rPr>
                            <w:bCs/>
                            <w:sz w:val="18"/>
                            <w:szCs w:val="18"/>
                            <w:lang w:val="tr-TR" w:eastAsia="tr-TR"/>
                          </w:rPr>
                          <w:t>servikal</w:t>
                        </w:r>
                        <w:proofErr w:type="spellEnd"/>
                        <w:r w:rsidRPr="00000665">
                          <w:rPr>
                            <w:bCs/>
                            <w:sz w:val="18"/>
                            <w:szCs w:val="18"/>
                            <w:lang w:val="tr-TR" w:eastAsia="tr-TR"/>
                          </w:rPr>
                          <w:t xml:space="preserve"> faset </w:t>
                        </w:r>
                        <w:proofErr w:type="spellStart"/>
                        <w:r w:rsidRPr="00000665">
                          <w:rPr>
                            <w:bCs/>
                            <w:sz w:val="18"/>
                            <w:szCs w:val="18"/>
                            <w:lang w:val="tr-TR" w:eastAsia="tr-TR"/>
                          </w:rPr>
                          <w:t>luksasyonu</w:t>
                        </w:r>
                        <w:proofErr w:type="spellEnd"/>
                        <w:r w:rsidRPr="00000665">
                          <w:rPr>
                            <w:bCs/>
                            <w:sz w:val="18"/>
                            <w:szCs w:val="18"/>
                            <w:lang w:val="tr-TR" w:eastAsia="tr-TR"/>
                          </w:rPr>
                          <w:t xml:space="preserve">, 2 seviye ve üstü </w:t>
                        </w:r>
                        <w:proofErr w:type="spellStart"/>
                        <w:r w:rsidRPr="00000665">
                          <w:rPr>
                            <w:bCs/>
                            <w:sz w:val="18"/>
                            <w:szCs w:val="18"/>
                            <w:lang w:val="tr-TR" w:eastAsia="tr-TR"/>
                          </w:rPr>
                          <w:t>anterior</w:t>
                        </w:r>
                        <w:proofErr w:type="spellEnd"/>
                        <w:r w:rsidRPr="00000665">
                          <w:rPr>
                            <w:bCs/>
                            <w:sz w:val="18"/>
                            <w:szCs w:val="18"/>
                            <w:lang w:val="tr-TR" w:eastAsia="tr-TR"/>
                          </w:rPr>
                          <w:t xml:space="preserve"> </w:t>
                        </w:r>
                        <w:proofErr w:type="spellStart"/>
                        <w:r w:rsidRPr="00000665">
                          <w:rPr>
                            <w:bCs/>
                            <w:sz w:val="18"/>
                            <w:szCs w:val="18"/>
                            <w:lang w:val="tr-TR" w:eastAsia="tr-TR"/>
                          </w:rPr>
                          <w:t>servikal</w:t>
                        </w:r>
                        <w:proofErr w:type="spellEnd"/>
                        <w:r w:rsidRPr="00000665">
                          <w:rPr>
                            <w:bCs/>
                            <w:sz w:val="18"/>
                            <w:szCs w:val="18"/>
                            <w:lang w:val="tr-TR" w:eastAsia="tr-TR"/>
                          </w:rPr>
                          <w:t xml:space="preserve"> füzyonu desteklemek için  kullanılması halinde Kurumca bedeli karşılanır.</w:t>
                        </w:r>
                      </w:p>
                    </w:tc>
                    <w:tc>
                      <w:tcPr>
                        <w:tcW w:w="633" w:type="pct"/>
                        <w:tcBorders>
                          <w:top w:val="nil"/>
                          <w:left w:val="nil"/>
                          <w:bottom w:val="single" w:sz="4" w:space="0" w:color="auto"/>
                          <w:right w:val="single" w:sz="4" w:space="0" w:color="auto"/>
                        </w:tcBorders>
                        <w:vAlign w:val="center"/>
                      </w:tcPr>
                      <w:p w:rsidR="00000665" w:rsidRPr="00000665" w:rsidRDefault="00000665" w:rsidP="00000665">
                        <w:pPr>
                          <w:spacing w:line="240" w:lineRule="exact"/>
                          <w:ind w:firstLine="709"/>
                          <w:jc w:val="right"/>
                          <w:rPr>
                            <w:bCs/>
                            <w:sz w:val="2"/>
                            <w:szCs w:val="18"/>
                            <w:lang w:val="tr-TR" w:eastAsia="tr-TR"/>
                          </w:rPr>
                        </w:pPr>
                      </w:p>
                    </w:tc>
                  </w:tr>
                  <w:tr w:rsidR="00000665" w:rsidRPr="00000665">
                    <w:trPr>
                      <w:trHeight w:val="20"/>
                      <w:jc w:val="center"/>
                    </w:trPr>
                    <w:tc>
                      <w:tcPr>
                        <w:tcW w:w="563"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Cs/>
                            <w:sz w:val="18"/>
                            <w:szCs w:val="18"/>
                            <w:lang w:val="tr-TR" w:eastAsia="tr-TR"/>
                          </w:rPr>
                        </w:pPr>
                        <w:r w:rsidRPr="00000665">
                          <w:rPr>
                            <w:bCs/>
                            <w:sz w:val="18"/>
                            <w:szCs w:val="18"/>
                            <w:lang w:val="tr-TR" w:eastAsia="tr-TR"/>
                          </w:rPr>
                          <w:t>103082</w:t>
                        </w:r>
                      </w:p>
                    </w:tc>
                    <w:tc>
                      <w:tcPr>
                        <w:tcW w:w="3804"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PERKÜTAN FASET KOMPRESYON (KİLİTLEME) VİDASI,  LOMBER</w:t>
                        </w:r>
                      </w:p>
                    </w:tc>
                    <w:tc>
                      <w:tcPr>
                        <w:tcW w:w="633"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right"/>
                          <w:rPr>
                            <w:bCs/>
                            <w:sz w:val="18"/>
                            <w:szCs w:val="18"/>
                            <w:lang w:val="tr-TR" w:eastAsia="tr-TR"/>
                          </w:rPr>
                        </w:pPr>
                        <w:r w:rsidRPr="00000665">
                          <w:rPr>
                            <w:bCs/>
                            <w:sz w:val="18"/>
                            <w:szCs w:val="18"/>
                            <w:lang w:val="tr-TR" w:eastAsia="tr-TR"/>
                          </w:rPr>
                          <w:t>3.750,00</w:t>
                        </w:r>
                      </w:p>
                    </w:tc>
                  </w:tr>
                  <w:tr w:rsidR="00000665" w:rsidRPr="00000665">
                    <w:trPr>
                      <w:trHeight w:val="20"/>
                      <w:jc w:val="center"/>
                    </w:trPr>
                    <w:tc>
                      <w:tcPr>
                        <w:tcW w:w="4367" w:type="pct"/>
                        <w:gridSpan w:val="2"/>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 xml:space="preserve">(1) Sadece </w:t>
                        </w:r>
                        <w:proofErr w:type="spellStart"/>
                        <w:r w:rsidRPr="00000665">
                          <w:rPr>
                            <w:bCs/>
                            <w:sz w:val="18"/>
                            <w:szCs w:val="18"/>
                            <w:lang w:val="tr-TR" w:eastAsia="tr-TR"/>
                          </w:rPr>
                          <w:t>perkütan</w:t>
                        </w:r>
                        <w:proofErr w:type="spellEnd"/>
                        <w:r w:rsidRPr="00000665">
                          <w:rPr>
                            <w:bCs/>
                            <w:sz w:val="18"/>
                            <w:szCs w:val="18"/>
                            <w:lang w:val="tr-TR" w:eastAsia="tr-TR"/>
                          </w:rPr>
                          <w:t xml:space="preserve"> girişimlerde, </w:t>
                        </w:r>
                        <w:proofErr w:type="spellStart"/>
                        <w:r w:rsidRPr="00000665">
                          <w:rPr>
                            <w:bCs/>
                            <w:sz w:val="18"/>
                            <w:szCs w:val="18"/>
                            <w:lang w:val="tr-TR" w:eastAsia="tr-TR"/>
                          </w:rPr>
                          <w:t>lomber</w:t>
                        </w:r>
                        <w:proofErr w:type="spellEnd"/>
                        <w:r w:rsidRPr="00000665">
                          <w:rPr>
                            <w:bCs/>
                            <w:sz w:val="18"/>
                            <w:szCs w:val="18"/>
                            <w:lang w:val="tr-TR" w:eastAsia="tr-TR"/>
                          </w:rPr>
                          <w:t xml:space="preserve"> </w:t>
                        </w:r>
                        <w:proofErr w:type="spellStart"/>
                        <w:r w:rsidRPr="00000665">
                          <w:rPr>
                            <w:bCs/>
                            <w:sz w:val="18"/>
                            <w:szCs w:val="18"/>
                            <w:lang w:val="tr-TR" w:eastAsia="tr-TR"/>
                          </w:rPr>
                          <w:t>instabilite</w:t>
                        </w:r>
                        <w:proofErr w:type="spellEnd"/>
                        <w:r w:rsidRPr="00000665">
                          <w:rPr>
                            <w:bCs/>
                            <w:sz w:val="18"/>
                            <w:szCs w:val="18"/>
                            <w:lang w:val="tr-TR" w:eastAsia="tr-TR"/>
                          </w:rPr>
                          <w:t xml:space="preserve">, faset eklem dejenerasyonu, </w:t>
                        </w:r>
                        <w:proofErr w:type="spellStart"/>
                        <w:r w:rsidRPr="00000665">
                          <w:rPr>
                            <w:bCs/>
                            <w:sz w:val="18"/>
                            <w:szCs w:val="18"/>
                            <w:lang w:val="tr-TR" w:eastAsia="tr-TR"/>
                          </w:rPr>
                          <w:t>disfonksiyonuna</w:t>
                        </w:r>
                        <w:proofErr w:type="spellEnd"/>
                        <w:r w:rsidRPr="00000665">
                          <w:rPr>
                            <w:bCs/>
                            <w:sz w:val="18"/>
                            <w:szCs w:val="18"/>
                            <w:lang w:val="tr-TR" w:eastAsia="tr-TR"/>
                          </w:rPr>
                          <w:t xml:space="preserve"> bağlı dirençli ağrılarda, </w:t>
                        </w:r>
                        <w:proofErr w:type="spellStart"/>
                        <w:r w:rsidRPr="00000665">
                          <w:rPr>
                            <w:bCs/>
                            <w:sz w:val="18"/>
                            <w:szCs w:val="18"/>
                            <w:lang w:val="tr-TR" w:eastAsia="tr-TR"/>
                          </w:rPr>
                          <w:t>anterior</w:t>
                        </w:r>
                        <w:proofErr w:type="spellEnd"/>
                        <w:r w:rsidRPr="00000665">
                          <w:rPr>
                            <w:bCs/>
                            <w:sz w:val="18"/>
                            <w:szCs w:val="18"/>
                            <w:lang w:val="tr-TR" w:eastAsia="tr-TR"/>
                          </w:rPr>
                          <w:t xml:space="preserve"> füzyonu desteklemek için  kullanılması halinde Kurumca bedeli karşılanır.</w:t>
                        </w:r>
                      </w:p>
                    </w:tc>
                    <w:tc>
                      <w:tcPr>
                        <w:tcW w:w="633" w:type="pct"/>
                        <w:tcBorders>
                          <w:top w:val="nil"/>
                          <w:left w:val="nil"/>
                          <w:bottom w:val="single" w:sz="4" w:space="0" w:color="auto"/>
                          <w:right w:val="single" w:sz="4" w:space="0" w:color="auto"/>
                        </w:tcBorders>
                        <w:vAlign w:val="center"/>
                      </w:tcPr>
                      <w:p w:rsidR="00000665" w:rsidRPr="00000665" w:rsidRDefault="00000665" w:rsidP="00000665">
                        <w:pPr>
                          <w:spacing w:line="240" w:lineRule="exact"/>
                          <w:ind w:firstLine="709"/>
                          <w:jc w:val="right"/>
                          <w:rPr>
                            <w:bCs/>
                            <w:sz w:val="2"/>
                            <w:szCs w:val="18"/>
                            <w:lang w:val="tr-TR" w:eastAsia="tr-TR"/>
                          </w:rPr>
                        </w:pPr>
                      </w:p>
                    </w:tc>
                  </w:tr>
                  <w:tr w:rsidR="00000665" w:rsidRPr="00000665">
                    <w:trPr>
                      <w:trHeight w:val="20"/>
                      <w:jc w:val="center"/>
                    </w:trPr>
                    <w:tc>
                      <w:tcPr>
                        <w:tcW w:w="563"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Cs/>
                            <w:sz w:val="18"/>
                            <w:szCs w:val="18"/>
                            <w:lang w:val="tr-TR" w:eastAsia="tr-TR"/>
                          </w:rPr>
                        </w:pPr>
                        <w:r w:rsidRPr="00000665">
                          <w:rPr>
                            <w:bCs/>
                            <w:sz w:val="18"/>
                            <w:szCs w:val="18"/>
                            <w:lang w:val="tr-TR" w:eastAsia="tr-TR"/>
                          </w:rPr>
                          <w:t>103083</w:t>
                        </w:r>
                      </w:p>
                    </w:tc>
                    <w:tc>
                      <w:tcPr>
                        <w:tcW w:w="3804"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PERKÜTAN FASET DİSTRAKSİYON APARATI, SERVİKAL</w:t>
                        </w:r>
                      </w:p>
                    </w:tc>
                    <w:tc>
                      <w:tcPr>
                        <w:tcW w:w="633"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right"/>
                          <w:rPr>
                            <w:bCs/>
                            <w:sz w:val="18"/>
                            <w:szCs w:val="18"/>
                            <w:lang w:val="tr-TR" w:eastAsia="tr-TR"/>
                          </w:rPr>
                        </w:pPr>
                        <w:r w:rsidRPr="00000665">
                          <w:rPr>
                            <w:bCs/>
                            <w:sz w:val="18"/>
                            <w:szCs w:val="18"/>
                            <w:lang w:val="tr-TR" w:eastAsia="tr-TR"/>
                          </w:rPr>
                          <w:t> 4.140,00</w:t>
                        </w:r>
                      </w:p>
                    </w:tc>
                  </w:tr>
                  <w:tr w:rsidR="00000665" w:rsidRPr="00000665">
                    <w:trPr>
                      <w:trHeight w:val="20"/>
                      <w:jc w:val="center"/>
                    </w:trPr>
                    <w:tc>
                      <w:tcPr>
                        <w:tcW w:w="4367" w:type="pct"/>
                        <w:gridSpan w:val="2"/>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 xml:space="preserve">(1) Sadece </w:t>
                        </w:r>
                        <w:proofErr w:type="spellStart"/>
                        <w:r w:rsidRPr="00000665">
                          <w:rPr>
                            <w:bCs/>
                            <w:sz w:val="18"/>
                            <w:szCs w:val="18"/>
                            <w:lang w:val="tr-TR" w:eastAsia="tr-TR"/>
                          </w:rPr>
                          <w:t>perkütan</w:t>
                        </w:r>
                        <w:proofErr w:type="spellEnd"/>
                        <w:r w:rsidRPr="00000665">
                          <w:rPr>
                            <w:bCs/>
                            <w:sz w:val="18"/>
                            <w:szCs w:val="18"/>
                            <w:lang w:val="tr-TR" w:eastAsia="tr-TR"/>
                          </w:rPr>
                          <w:t xml:space="preserve"> girişimlerde, </w:t>
                        </w:r>
                        <w:proofErr w:type="spellStart"/>
                        <w:r w:rsidRPr="00000665">
                          <w:rPr>
                            <w:bCs/>
                            <w:sz w:val="18"/>
                            <w:szCs w:val="18"/>
                            <w:lang w:val="tr-TR" w:eastAsia="tr-TR"/>
                          </w:rPr>
                          <w:t>servikal</w:t>
                        </w:r>
                        <w:proofErr w:type="spellEnd"/>
                        <w:r w:rsidRPr="00000665">
                          <w:rPr>
                            <w:bCs/>
                            <w:sz w:val="18"/>
                            <w:szCs w:val="18"/>
                            <w:lang w:val="tr-TR" w:eastAsia="tr-TR"/>
                          </w:rPr>
                          <w:t xml:space="preserve"> faset eklem dejenerasyonu, </w:t>
                        </w:r>
                        <w:proofErr w:type="spellStart"/>
                        <w:r w:rsidRPr="00000665">
                          <w:rPr>
                            <w:bCs/>
                            <w:sz w:val="18"/>
                            <w:szCs w:val="18"/>
                            <w:lang w:val="tr-TR" w:eastAsia="tr-TR"/>
                          </w:rPr>
                          <w:t>servikal</w:t>
                        </w:r>
                        <w:proofErr w:type="spellEnd"/>
                        <w:r w:rsidRPr="00000665">
                          <w:rPr>
                            <w:bCs/>
                            <w:sz w:val="18"/>
                            <w:szCs w:val="18"/>
                            <w:lang w:val="tr-TR" w:eastAsia="tr-TR"/>
                          </w:rPr>
                          <w:t xml:space="preserve"> </w:t>
                        </w:r>
                        <w:proofErr w:type="spellStart"/>
                        <w:r w:rsidRPr="00000665">
                          <w:rPr>
                            <w:bCs/>
                            <w:sz w:val="18"/>
                            <w:szCs w:val="18"/>
                            <w:lang w:val="tr-TR" w:eastAsia="tr-TR"/>
                          </w:rPr>
                          <w:t>foraminal</w:t>
                        </w:r>
                        <w:proofErr w:type="spellEnd"/>
                        <w:r w:rsidRPr="00000665">
                          <w:rPr>
                            <w:bCs/>
                            <w:sz w:val="18"/>
                            <w:szCs w:val="18"/>
                            <w:lang w:val="tr-TR" w:eastAsia="tr-TR"/>
                          </w:rPr>
                          <w:t xml:space="preserve"> </w:t>
                        </w:r>
                        <w:proofErr w:type="spellStart"/>
                        <w:r w:rsidRPr="00000665">
                          <w:rPr>
                            <w:bCs/>
                            <w:sz w:val="18"/>
                            <w:szCs w:val="18"/>
                            <w:lang w:val="tr-TR" w:eastAsia="tr-TR"/>
                          </w:rPr>
                          <w:t>stenoza</w:t>
                        </w:r>
                        <w:proofErr w:type="spellEnd"/>
                        <w:r w:rsidRPr="00000665">
                          <w:rPr>
                            <w:bCs/>
                            <w:sz w:val="18"/>
                            <w:szCs w:val="18"/>
                            <w:lang w:val="tr-TR" w:eastAsia="tr-TR"/>
                          </w:rPr>
                          <w:t xml:space="preserve"> bağlı dirençli ağrılarda kullanılması halinde Kurumca bedeli karşılanır.</w:t>
                        </w:r>
                      </w:p>
                    </w:tc>
                    <w:tc>
                      <w:tcPr>
                        <w:tcW w:w="633" w:type="pct"/>
                        <w:tcBorders>
                          <w:top w:val="nil"/>
                          <w:left w:val="nil"/>
                          <w:bottom w:val="single" w:sz="4" w:space="0" w:color="auto"/>
                          <w:right w:val="single" w:sz="4" w:space="0" w:color="auto"/>
                        </w:tcBorders>
                        <w:vAlign w:val="center"/>
                      </w:tcPr>
                      <w:p w:rsidR="00000665" w:rsidRPr="00000665" w:rsidRDefault="00000665" w:rsidP="00000665">
                        <w:pPr>
                          <w:spacing w:line="240" w:lineRule="exact"/>
                          <w:ind w:firstLine="709"/>
                          <w:jc w:val="right"/>
                          <w:rPr>
                            <w:bCs/>
                            <w:sz w:val="2"/>
                            <w:szCs w:val="18"/>
                            <w:lang w:val="tr-TR" w:eastAsia="tr-TR"/>
                          </w:rPr>
                        </w:pPr>
                      </w:p>
                    </w:tc>
                  </w:tr>
                  <w:tr w:rsidR="00000665" w:rsidRPr="00000665">
                    <w:trPr>
                      <w:trHeight w:val="20"/>
                      <w:jc w:val="center"/>
                    </w:trPr>
                    <w:tc>
                      <w:tcPr>
                        <w:tcW w:w="563"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bCs/>
                            <w:sz w:val="18"/>
                            <w:szCs w:val="18"/>
                            <w:lang w:val="tr-TR" w:eastAsia="tr-TR"/>
                          </w:rPr>
                        </w:pPr>
                        <w:r w:rsidRPr="00000665">
                          <w:rPr>
                            <w:bCs/>
                            <w:sz w:val="18"/>
                            <w:szCs w:val="18"/>
                            <w:lang w:val="tr-TR" w:eastAsia="tr-TR"/>
                          </w:rPr>
                          <w:t>103084</w:t>
                        </w:r>
                      </w:p>
                    </w:tc>
                    <w:tc>
                      <w:tcPr>
                        <w:tcW w:w="3804"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PERKÜTAN FASET DİSTRAKSİYON APARATI, LOMBER</w:t>
                        </w:r>
                      </w:p>
                    </w:tc>
                    <w:tc>
                      <w:tcPr>
                        <w:tcW w:w="633"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right"/>
                          <w:rPr>
                            <w:bCs/>
                            <w:sz w:val="18"/>
                            <w:szCs w:val="18"/>
                            <w:lang w:val="tr-TR" w:eastAsia="tr-TR"/>
                          </w:rPr>
                        </w:pPr>
                        <w:r w:rsidRPr="00000665">
                          <w:rPr>
                            <w:bCs/>
                            <w:sz w:val="18"/>
                            <w:szCs w:val="18"/>
                            <w:lang w:val="tr-TR" w:eastAsia="tr-TR"/>
                          </w:rPr>
                          <w:t>3.750,00</w:t>
                        </w:r>
                      </w:p>
                    </w:tc>
                  </w:tr>
                  <w:tr w:rsidR="00000665" w:rsidRPr="00000665">
                    <w:trPr>
                      <w:trHeight w:val="20"/>
                      <w:jc w:val="center"/>
                    </w:trPr>
                    <w:tc>
                      <w:tcPr>
                        <w:tcW w:w="4367" w:type="pct"/>
                        <w:gridSpan w:val="2"/>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bCs/>
                            <w:sz w:val="18"/>
                            <w:szCs w:val="18"/>
                            <w:lang w:val="tr-TR" w:eastAsia="tr-TR"/>
                          </w:rPr>
                        </w:pPr>
                        <w:r w:rsidRPr="00000665">
                          <w:rPr>
                            <w:bCs/>
                            <w:sz w:val="18"/>
                            <w:szCs w:val="18"/>
                            <w:lang w:val="tr-TR" w:eastAsia="tr-TR"/>
                          </w:rPr>
                          <w:t xml:space="preserve">(1) Sadece </w:t>
                        </w:r>
                        <w:proofErr w:type="spellStart"/>
                        <w:r w:rsidRPr="00000665">
                          <w:rPr>
                            <w:bCs/>
                            <w:sz w:val="18"/>
                            <w:szCs w:val="18"/>
                            <w:lang w:val="tr-TR" w:eastAsia="tr-TR"/>
                          </w:rPr>
                          <w:t>perkütan</w:t>
                        </w:r>
                        <w:proofErr w:type="spellEnd"/>
                        <w:r w:rsidRPr="00000665">
                          <w:rPr>
                            <w:bCs/>
                            <w:sz w:val="18"/>
                            <w:szCs w:val="18"/>
                            <w:lang w:val="tr-TR" w:eastAsia="tr-TR"/>
                          </w:rPr>
                          <w:t xml:space="preserve"> girişimlerde, </w:t>
                        </w:r>
                        <w:proofErr w:type="spellStart"/>
                        <w:r w:rsidRPr="00000665">
                          <w:rPr>
                            <w:bCs/>
                            <w:sz w:val="18"/>
                            <w:szCs w:val="18"/>
                            <w:lang w:val="tr-TR" w:eastAsia="tr-TR"/>
                          </w:rPr>
                          <w:t>lomber</w:t>
                        </w:r>
                        <w:proofErr w:type="spellEnd"/>
                        <w:r w:rsidRPr="00000665">
                          <w:rPr>
                            <w:bCs/>
                            <w:sz w:val="18"/>
                            <w:szCs w:val="18"/>
                            <w:lang w:val="tr-TR" w:eastAsia="tr-TR"/>
                          </w:rPr>
                          <w:t xml:space="preserve"> faset eklem dejenerasyonu, </w:t>
                        </w:r>
                        <w:proofErr w:type="spellStart"/>
                        <w:r w:rsidRPr="00000665">
                          <w:rPr>
                            <w:bCs/>
                            <w:sz w:val="18"/>
                            <w:szCs w:val="18"/>
                            <w:lang w:val="tr-TR" w:eastAsia="tr-TR"/>
                          </w:rPr>
                          <w:t>lomber</w:t>
                        </w:r>
                        <w:proofErr w:type="spellEnd"/>
                        <w:r w:rsidRPr="00000665">
                          <w:rPr>
                            <w:bCs/>
                            <w:sz w:val="18"/>
                            <w:szCs w:val="18"/>
                            <w:lang w:val="tr-TR" w:eastAsia="tr-TR"/>
                          </w:rPr>
                          <w:t xml:space="preserve"> </w:t>
                        </w:r>
                        <w:proofErr w:type="spellStart"/>
                        <w:r w:rsidRPr="00000665">
                          <w:rPr>
                            <w:bCs/>
                            <w:sz w:val="18"/>
                            <w:szCs w:val="18"/>
                            <w:lang w:val="tr-TR" w:eastAsia="tr-TR"/>
                          </w:rPr>
                          <w:t>foraminal</w:t>
                        </w:r>
                        <w:proofErr w:type="spellEnd"/>
                        <w:r w:rsidRPr="00000665">
                          <w:rPr>
                            <w:bCs/>
                            <w:sz w:val="18"/>
                            <w:szCs w:val="18"/>
                            <w:lang w:val="tr-TR" w:eastAsia="tr-TR"/>
                          </w:rPr>
                          <w:t xml:space="preserve"> </w:t>
                        </w:r>
                        <w:proofErr w:type="spellStart"/>
                        <w:r w:rsidRPr="00000665">
                          <w:rPr>
                            <w:bCs/>
                            <w:sz w:val="18"/>
                            <w:szCs w:val="18"/>
                            <w:lang w:val="tr-TR" w:eastAsia="tr-TR"/>
                          </w:rPr>
                          <w:t>stenoza</w:t>
                        </w:r>
                        <w:proofErr w:type="spellEnd"/>
                        <w:r w:rsidRPr="00000665">
                          <w:rPr>
                            <w:bCs/>
                            <w:sz w:val="18"/>
                            <w:szCs w:val="18"/>
                            <w:lang w:val="tr-TR" w:eastAsia="tr-TR"/>
                          </w:rPr>
                          <w:t xml:space="preserve"> bağlı dirençli ağrılarda, kullanılması halinde Kurumca bedeli karşılanır.</w:t>
                        </w:r>
                      </w:p>
                    </w:tc>
                    <w:tc>
                      <w:tcPr>
                        <w:tcW w:w="633" w:type="pct"/>
                        <w:tcBorders>
                          <w:top w:val="single" w:sz="4" w:space="0" w:color="auto"/>
                          <w:left w:val="nil"/>
                          <w:bottom w:val="single" w:sz="4" w:space="0" w:color="auto"/>
                          <w:right w:val="single" w:sz="4" w:space="0" w:color="auto"/>
                        </w:tcBorders>
                        <w:vAlign w:val="center"/>
                      </w:tcPr>
                      <w:p w:rsidR="00000665" w:rsidRPr="00000665" w:rsidRDefault="00000665" w:rsidP="00000665">
                        <w:pPr>
                          <w:spacing w:line="240" w:lineRule="exact"/>
                          <w:ind w:firstLine="709"/>
                          <w:jc w:val="right"/>
                          <w:rPr>
                            <w:bCs/>
                            <w:sz w:val="2"/>
                            <w:szCs w:val="18"/>
                            <w:lang w:val="tr-TR" w:eastAsia="tr-TR"/>
                          </w:rPr>
                        </w:pP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23 –</w:t>
                  </w:r>
                  <w:r w:rsidRPr="00000665">
                    <w:rPr>
                      <w:sz w:val="18"/>
                      <w:szCs w:val="18"/>
                      <w:lang w:val="tr-TR" w:eastAsia="tr-TR"/>
                    </w:rPr>
                    <w:t xml:space="preserve"> Aynı Tebliğin “Ortopedi ve Travmatoloji Branşı </w:t>
                  </w:r>
                  <w:proofErr w:type="spellStart"/>
                  <w:r w:rsidRPr="00000665">
                    <w:rPr>
                      <w:sz w:val="18"/>
                      <w:szCs w:val="18"/>
                      <w:lang w:val="tr-TR" w:eastAsia="tr-TR"/>
                    </w:rPr>
                    <w:t>Artroskopi</w:t>
                  </w:r>
                  <w:proofErr w:type="spellEnd"/>
                  <w:r w:rsidRPr="00000665">
                    <w:rPr>
                      <w:sz w:val="18"/>
                      <w:szCs w:val="18"/>
                      <w:lang w:val="tr-TR" w:eastAsia="tr-TR"/>
                    </w:rPr>
                    <w:t xml:space="preserve"> ve Eklem Cerrahisi Alan Grubuna Ait Tıbbi Malzemeler” Listesinde (EK-3/F-2) yer alan “AE2520”, “AE2530”, “AE2540” SUT kodlu tıbbi malzemeler aşağıdaki şekilde yeniden düzenlenmiştir.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738" w:type="dxa"/>
                    <w:jc w:val="center"/>
                    <w:tblCellMar>
                      <w:left w:w="70" w:type="dxa"/>
                      <w:right w:w="70" w:type="dxa"/>
                    </w:tblCellMar>
                    <w:tblLook w:val="00A0"/>
                  </w:tblPr>
                  <w:tblGrid>
                    <w:gridCol w:w="658"/>
                    <w:gridCol w:w="1697"/>
                    <w:gridCol w:w="1951"/>
                    <w:gridCol w:w="387"/>
                    <w:gridCol w:w="540"/>
                    <w:gridCol w:w="1260"/>
                    <w:gridCol w:w="1080"/>
                    <w:gridCol w:w="1165"/>
                  </w:tblGrid>
                  <w:tr w:rsidR="00000665" w:rsidRPr="00000665">
                    <w:trPr>
                      <w:trHeight w:val="20"/>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rFonts w:ascii="Arial Narrow" w:hAnsi="Arial Narrow"/>
                            <w:b/>
                            <w:bCs/>
                            <w:sz w:val="14"/>
                            <w:szCs w:val="14"/>
                            <w:lang w:val="tr-TR" w:eastAsia="tr-TR"/>
                          </w:rPr>
                        </w:pPr>
                        <w:r w:rsidRPr="00000665">
                          <w:rPr>
                            <w:rFonts w:ascii="Arial Narrow" w:hAnsi="Arial Narrow"/>
                            <w:b/>
                            <w:bCs/>
                            <w:sz w:val="14"/>
                            <w:szCs w:val="14"/>
                            <w:lang w:val="tr-TR" w:eastAsia="tr-TR"/>
                          </w:rPr>
                          <w:t>SUT KODU</w:t>
                        </w:r>
                      </w:p>
                    </w:tc>
                    <w:tc>
                      <w:tcPr>
                        <w:tcW w:w="6915" w:type="dxa"/>
                        <w:gridSpan w:val="6"/>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rFonts w:ascii="Arial Narrow" w:hAnsi="Arial Narrow"/>
                            <w:b/>
                            <w:bCs/>
                            <w:sz w:val="14"/>
                            <w:szCs w:val="14"/>
                            <w:lang w:val="tr-TR" w:eastAsia="tr-TR"/>
                          </w:rPr>
                        </w:pPr>
                        <w:r w:rsidRPr="00000665">
                          <w:rPr>
                            <w:rFonts w:ascii="Arial Narrow" w:hAnsi="Arial Narrow"/>
                            <w:b/>
                            <w:bCs/>
                            <w:sz w:val="14"/>
                            <w:szCs w:val="14"/>
                            <w:lang w:val="tr-TR" w:eastAsia="tr-TR"/>
                          </w:rPr>
                          <w:t>TIBBİ MALZEME ALAN TANIMI</w:t>
                        </w:r>
                      </w:p>
                    </w:tc>
                    <w:tc>
                      <w:tcPr>
                        <w:tcW w:w="1165"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rFonts w:ascii="Arial Narrow" w:hAnsi="Arial Narrow"/>
                            <w:b/>
                            <w:bCs/>
                            <w:sz w:val="14"/>
                            <w:szCs w:val="14"/>
                            <w:lang w:val="tr-TR" w:eastAsia="tr-TR"/>
                          </w:rPr>
                        </w:pPr>
                        <w:r w:rsidRPr="00000665">
                          <w:rPr>
                            <w:rFonts w:ascii="Arial Narrow" w:hAnsi="Arial Narrow"/>
                            <w:b/>
                            <w:bCs/>
                            <w:sz w:val="14"/>
                            <w:szCs w:val="14"/>
                            <w:lang w:val="tr-TR" w:eastAsia="tr-TR"/>
                          </w:rPr>
                          <w:t>FİYAT (TL)</w:t>
                        </w:r>
                      </w:p>
                    </w:tc>
                  </w:tr>
                  <w:tr w:rsidR="00000665" w:rsidRPr="00000665">
                    <w:trPr>
                      <w:trHeight w:val="20"/>
                      <w:jc w:val="center"/>
                    </w:trPr>
                    <w:tc>
                      <w:tcPr>
                        <w:tcW w:w="658"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AE2520</w:t>
                        </w:r>
                      </w:p>
                    </w:tc>
                    <w:tc>
                      <w:tcPr>
                        <w:tcW w:w="1697"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EKLEM REKONSTRÜKSİYON, ÇEKİÇ PARMAK</w:t>
                        </w:r>
                      </w:p>
                    </w:tc>
                    <w:tc>
                      <w:tcPr>
                        <w:tcW w:w="1951"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ORTA FALENGEAL KOMPONENT </w:t>
                        </w:r>
                      </w:p>
                    </w:tc>
                    <w:tc>
                      <w:tcPr>
                        <w:tcW w:w="387"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w:t>
                        </w:r>
                      </w:p>
                    </w:tc>
                    <w:tc>
                      <w:tcPr>
                        <w:tcW w:w="540"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w:t>
                        </w:r>
                      </w:p>
                    </w:tc>
                    <w:tc>
                      <w:tcPr>
                        <w:tcW w:w="1260"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rPr>
                            <w:rFonts w:ascii="Arial Narrow" w:hAnsi="Arial Narrow"/>
                            <w:bCs/>
                            <w:sz w:val="14"/>
                            <w:szCs w:val="14"/>
                            <w:lang w:val="tr-TR" w:eastAsia="tr-TR"/>
                          </w:rPr>
                        </w:pPr>
                        <w:r w:rsidRPr="00000665">
                          <w:rPr>
                            <w:rFonts w:ascii="Arial Narrow" w:hAnsi="Arial Narrow"/>
                            <w:bCs/>
                            <w:sz w:val="14"/>
                            <w:szCs w:val="14"/>
                            <w:lang w:val="tr-TR" w:eastAsia="tr-TR"/>
                          </w:rPr>
                          <w:t xml:space="preserve"> ÇELİK/TİTANYUM</w:t>
                        </w:r>
                      </w:p>
                    </w:tc>
                    <w:tc>
                      <w:tcPr>
                        <w:tcW w:w="1080"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TÜM BOYLAR</w:t>
                        </w:r>
                      </w:p>
                    </w:tc>
                    <w:tc>
                      <w:tcPr>
                        <w:tcW w:w="1165"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right"/>
                          <w:rPr>
                            <w:rFonts w:ascii="Arial Narrow" w:hAnsi="Arial Narrow"/>
                            <w:bCs/>
                            <w:sz w:val="14"/>
                            <w:szCs w:val="14"/>
                            <w:lang w:val="tr-TR" w:eastAsia="tr-TR"/>
                          </w:rPr>
                        </w:pPr>
                        <w:r w:rsidRPr="00000665">
                          <w:rPr>
                            <w:rFonts w:ascii="Arial Narrow" w:hAnsi="Arial Narrow"/>
                            <w:bCs/>
                            <w:sz w:val="14"/>
                            <w:szCs w:val="14"/>
                            <w:lang w:val="tr-TR" w:eastAsia="tr-TR"/>
                          </w:rPr>
                          <w:t xml:space="preserve"> 700,00</w:t>
                        </w:r>
                      </w:p>
                    </w:tc>
                  </w:tr>
                  <w:tr w:rsidR="00000665" w:rsidRPr="00000665">
                    <w:trPr>
                      <w:trHeight w:val="20"/>
                      <w:jc w:val="center"/>
                    </w:trPr>
                    <w:tc>
                      <w:tcPr>
                        <w:tcW w:w="658" w:type="dxa"/>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AE2530</w:t>
                        </w:r>
                      </w:p>
                    </w:tc>
                    <w:tc>
                      <w:tcPr>
                        <w:tcW w:w="1697"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EKLEM REKONSTRÜKSİYON, ÇEKİÇ PARMAK</w:t>
                        </w:r>
                      </w:p>
                    </w:tc>
                    <w:tc>
                      <w:tcPr>
                        <w:tcW w:w="1951"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ORTA VE PROKSİMAL FALENGEAL KOMPONENT KİT</w:t>
                        </w:r>
                      </w:p>
                    </w:tc>
                    <w:tc>
                      <w:tcPr>
                        <w:tcW w:w="387"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w:t>
                        </w:r>
                      </w:p>
                    </w:tc>
                    <w:tc>
                      <w:tcPr>
                        <w:tcW w:w="540"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w:t>
                        </w:r>
                      </w:p>
                    </w:tc>
                    <w:tc>
                      <w:tcPr>
                        <w:tcW w:w="1260"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rPr>
                            <w:rFonts w:ascii="Arial Narrow" w:hAnsi="Arial Narrow"/>
                            <w:bCs/>
                            <w:sz w:val="14"/>
                            <w:szCs w:val="14"/>
                            <w:lang w:val="tr-TR" w:eastAsia="tr-TR"/>
                          </w:rPr>
                        </w:pPr>
                        <w:r w:rsidRPr="00000665">
                          <w:rPr>
                            <w:rFonts w:ascii="Arial Narrow" w:hAnsi="Arial Narrow"/>
                            <w:bCs/>
                            <w:sz w:val="14"/>
                            <w:szCs w:val="14"/>
                            <w:lang w:val="tr-TR" w:eastAsia="tr-TR"/>
                          </w:rPr>
                          <w:t xml:space="preserve"> ÇELİK/TİTANYUM</w:t>
                        </w:r>
                      </w:p>
                    </w:tc>
                    <w:tc>
                      <w:tcPr>
                        <w:tcW w:w="1080"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TÜM BOYLAR</w:t>
                        </w:r>
                      </w:p>
                    </w:tc>
                    <w:tc>
                      <w:tcPr>
                        <w:tcW w:w="1165"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right"/>
                          <w:rPr>
                            <w:rFonts w:ascii="Arial Narrow" w:hAnsi="Arial Narrow"/>
                            <w:bCs/>
                            <w:sz w:val="14"/>
                            <w:szCs w:val="14"/>
                            <w:lang w:val="tr-TR" w:eastAsia="tr-TR"/>
                          </w:rPr>
                        </w:pPr>
                        <w:r w:rsidRPr="00000665">
                          <w:rPr>
                            <w:rFonts w:ascii="Arial Narrow" w:hAnsi="Arial Narrow"/>
                            <w:bCs/>
                            <w:sz w:val="14"/>
                            <w:szCs w:val="14"/>
                            <w:lang w:val="tr-TR" w:eastAsia="tr-TR"/>
                          </w:rPr>
                          <w:t xml:space="preserve"> 1.350,00</w:t>
                        </w:r>
                      </w:p>
                    </w:tc>
                  </w:tr>
                  <w:tr w:rsidR="00000665" w:rsidRPr="00000665">
                    <w:trPr>
                      <w:trHeight w:val="20"/>
                      <w:jc w:val="center"/>
                    </w:trPr>
                    <w:tc>
                      <w:tcPr>
                        <w:tcW w:w="658" w:type="dxa"/>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AE2540</w:t>
                        </w:r>
                      </w:p>
                    </w:tc>
                    <w:tc>
                      <w:tcPr>
                        <w:tcW w:w="1697"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EKLEM REKONSTRÜKSİYON, ÇEKİÇ PARMAK</w:t>
                        </w:r>
                      </w:p>
                    </w:tc>
                    <w:tc>
                      <w:tcPr>
                        <w:tcW w:w="1951"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PROKSİMALFALENGEAL KOMPONENT</w:t>
                        </w:r>
                      </w:p>
                    </w:tc>
                    <w:tc>
                      <w:tcPr>
                        <w:tcW w:w="387"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w:t>
                        </w:r>
                      </w:p>
                    </w:tc>
                    <w:tc>
                      <w:tcPr>
                        <w:tcW w:w="540"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 xml:space="preserve"> </w:t>
                        </w:r>
                      </w:p>
                    </w:tc>
                    <w:tc>
                      <w:tcPr>
                        <w:tcW w:w="1260"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rPr>
                            <w:rFonts w:ascii="Arial Narrow" w:hAnsi="Arial Narrow"/>
                            <w:bCs/>
                            <w:sz w:val="14"/>
                            <w:szCs w:val="14"/>
                            <w:lang w:val="tr-TR" w:eastAsia="tr-TR"/>
                          </w:rPr>
                        </w:pPr>
                        <w:r w:rsidRPr="00000665">
                          <w:rPr>
                            <w:rFonts w:ascii="Arial Narrow" w:hAnsi="Arial Narrow"/>
                            <w:bCs/>
                            <w:sz w:val="14"/>
                            <w:szCs w:val="14"/>
                            <w:lang w:val="tr-TR" w:eastAsia="tr-TR"/>
                          </w:rPr>
                          <w:t xml:space="preserve"> ÇELİK/TİTANYUM</w:t>
                        </w:r>
                      </w:p>
                    </w:tc>
                    <w:tc>
                      <w:tcPr>
                        <w:tcW w:w="1080"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4"/>
                            <w:szCs w:val="14"/>
                            <w:lang w:val="tr-TR" w:eastAsia="tr-TR"/>
                          </w:rPr>
                        </w:pPr>
                        <w:r w:rsidRPr="00000665">
                          <w:rPr>
                            <w:rFonts w:ascii="Arial Narrow" w:hAnsi="Arial Narrow"/>
                            <w:bCs/>
                            <w:sz w:val="14"/>
                            <w:szCs w:val="14"/>
                            <w:lang w:val="tr-TR" w:eastAsia="tr-TR"/>
                          </w:rPr>
                          <w:t>TÜM BOYLAR</w:t>
                        </w:r>
                      </w:p>
                    </w:tc>
                    <w:tc>
                      <w:tcPr>
                        <w:tcW w:w="1165" w:type="dxa"/>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right"/>
                          <w:rPr>
                            <w:rFonts w:ascii="Arial Narrow" w:hAnsi="Arial Narrow"/>
                            <w:bCs/>
                            <w:sz w:val="14"/>
                            <w:szCs w:val="14"/>
                            <w:lang w:val="tr-TR" w:eastAsia="tr-TR"/>
                          </w:rPr>
                        </w:pPr>
                        <w:r w:rsidRPr="00000665">
                          <w:rPr>
                            <w:rFonts w:ascii="Arial Narrow" w:hAnsi="Arial Narrow"/>
                            <w:bCs/>
                            <w:sz w:val="14"/>
                            <w:szCs w:val="14"/>
                            <w:lang w:val="tr-TR" w:eastAsia="tr-TR"/>
                          </w:rPr>
                          <w:t xml:space="preserve"> 700,00</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24 –</w:t>
                  </w:r>
                  <w:r w:rsidRPr="00000665">
                    <w:rPr>
                      <w:sz w:val="18"/>
                      <w:szCs w:val="18"/>
                      <w:lang w:val="tr-TR" w:eastAsia="tr-TR"/>
                    </w:rPr>
                    <w:t xml:space="preserve"> Aynı Tebliğin “Ortopedi ve Travmatoloji Branşı Travma ve Rekonstrüksiyon alan Grubuna Ait Tıbbi Malzemeler Listesi”nde (EK-3/F-4) yer alan “TV1820” ve “TV1830” SUT kodlu tıbbi malzemeler aşağıdaki şekilde yeniden düzenlenmiştir.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CellMar>
                      <w:left w:w="70" w:type="dxa"/>
                      <w:right w:w="70" w:type="dxa"/>
                    </w:tblCellMar>
                    <w:tblLook w:val="00A0"/>
                  </w:tblPr>
                  <w:tblGrid>
                    <w:gridCol w:w="505"/>
                    <w:gridCol w:w="948"/>
                    <w:gridCol w:w="841"/>
                    <w:gridCol w:w="836"/>
                    <w:gridCol w:w="1639"/>
                    <w:gridCol w:w="836"/>
                    <w:gridCol w:w="836"/>
                    <w:gridCol w:w="943"/>
                    <w:gridCol w:w="615"/>
                    <w:gridCol w:w="506"/>
                  </w:tblGrid>
                  <w:tr w:rsidR="00000665" w:rsidRPr="00000665">
                    <w:trPr>
                      <w:trHeight w:val="20"/>
                      <w:jc w:val="center"/>
                    </w:trPr>
                    <w:tc>
                      <w:tcPr>
                        <w:tcW w:w="325" w:type="pct"/>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center"/>
                          <w:rPr>
                            <w:rFonts w:ascii="Arial Narrow" w:hAnsi="Arial Narrow"/>
                            <w:b/>
                            <w:bCs/>
                            <w:sz w:val="12"/>
                            <w:szCs w:val="12"/>
                            <w:lang w:val="tr-TR" w:eastAsia="tr-TR"/>
                          </w:rPr>
                        </w:pPr>
                        <w:r w:rsidRPr="00000665">
                          <w:rPr>
                            <w:rFonts w:ascii="Arial Narrow" w:hAnsi="Arial Narrow"/>
                            <w:b/>
                            <w:bCs/>
                            <w:sz w:val="12"/>
                            <w:szCs w:val="12"/>
                            <w:lang w:val="tr-TR" w:eastAsia="tr-TR"/>
                          </w:rPr>
                          <w:t>SUT KODU</w:t>
                        </w:r>
                      </w:p>
                    </w:tc>
                    <w:tc>
                      <w:tcPr>
                        <w:tcW w:w="4350" w:type="pct"/>
                        <w:gridSpan w:val="8"/>
                        <w:tcBorders>
                          <w:top w:val="single" w:sz="4" w:space="0" w:color="auto"/>
                          <w:left w:val="nil"/>
                          <w:bottom w:val="single" w:sz="4" w:space="0" w:color="auto"/>
                          <w:right w:val="single" w:sz="4" w:space="0" w:color="000000"/>
                        </w:tcBorders>
                        <w:vAlign w:val="center"/>
                        <w:hideMark/>
                      </w:tcPr>
                      <w:p w:rsidR="00000665" w:rsidRPr="00000665" w:rsidRDefault="00000665" w:rsidP="00000665">
                        <w:pPr>
                          <w:spacing w:line="20" w:lineRule="atLeast"/>
                          <w:jc w:val="center"/>
                          <w:rPr>
                            <w:rFonts w:ascii="Arial Narrow" w:hAnsi="Arial Narrow"/>
                            <w:b/>
                            <w:bCs/>
                            <w:sz w:val="12"/>
                            <w:szCs w:val="12"/>
                            <w:lang w:val="tr-TR" w:eastAsia="tr-TR"/>
                          </w:rPr>
                        </w:pPr>
                        <w:r w:rsidRPr="00000665">
                          <w:rPr>
                            <w:rFonts w:ascii="Arial Narrow" w:hAnsi="Arial Narrow"/>
                            <w:b/>
                            <w:bCs/>
                            <w:sz w:val="12"/>
                            <w:szCs w:val="12"/>
                            <w:lang w:val="tr-TR" w:eastAsia="tr-TR"/>
                          </w:rPr>
                          <w:t>TIBBİ MALZEME ALAN TANIMI</w:t>
                        </w:r>
                      </w:p>
                    </w:tc>
                    <w:tc>
                      <w:tcPr>
                        <w:tcW w:w="325" w:type="pct"/>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0" w:lineRule="atLeast"/>
                          <w:jc w:val="center"/>
                          <w:rPr>
                            <w:rFonts w:ascii="Arial Narrow" w:hAnsi="Arial Narrow"/>
                            <w:b/>
                            <w:bCs/>
                            <w:sz w:val="12"/>
                            <w:szCs w:val="12"/>
                            <w:lang w:val="tr-TR" w:eastAsia="tr-TR"/>
                          </w:rPr>
                        </w:pPr>
                        <w:r w:rsidRPr="00000665">
                          <w:rPr>
                            <w:rFonts w:ascii="Arial Narrow" w:hAnsi="Arial Narrow"/>
                            <w:b/>
                            <w:bCs/>
                            <w:sz w:val="12"/>
                            <w:szCs w:val="12"/>
                            <w:lang w:val="tr-TR" w:eastAsia="tr-TR"/>
                          </w:rPr>
                          <w:t>FİYAT (TL)</w:t>
                        </w:r>
                      </w:p>
                    </w:tc>
                  </w:tr>
                  <w:tr w:rsidR="00000665" w:rsidRPr="00000665">
                    <w:trPr>
                      <w:trHeight w:val="20"/>
                      <w:jc w:val="center"/>
                    </w:trPr>
                    <w:tc>
                      <w:tcPr>
                        <w:tcW w:w="325"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w:t>
                        </w:r>
                      </w:p>
                    </w:tc>
                    <w:tc>
                      <w:tcPr>
                        <w:tcW w:w="58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 xml:space="preserve"> OPERASYON BÖLGESİ</w:t>
                        </w:r>
                      </w:p>
                    </w:tc>
                    <w:tc>
                      <w:tcPr>
                        <w:tcW w:w="522"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 xml:space="preserve"> CERRAHİ YAKLAŞIM</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BİÇİM</w:t>
                        </w:r>
                      </w:p>
                    </w:tc>
                    <w:tc>
                      <w:tcPr>
                        <w:tcW w:w="71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ÜRÜN ÖZELLİĞİ</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 xml:space="preserve"> BOYUTSAL ÖZELLİK</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 xml:space="preserve"> ŞEKİLSEL ÖZELLİK</w:t>
                        </w:r>
                      </w:p>
                    </w:tc>
                    <w:tc>
                      <w:tcPr>
                        <w:tcW w:w="582"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 xml:space="preserve"> MATERYAL</w:t>
                        </w:r>
                      </w:p>
                    </w:tc>
                    <w:tc>
                      <w:tcPr>
                        <w:tcW w:w="38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
                            <w:bCs/>
                            <w:sz w:val="12"/>
                            <w:szCs w:val="12"/>
                            <w:lang w:val="tr-TR" w:eastAsia="tr-TR"/>
                          </w:rPr>
                        </w:pPr>
                        <w:r w:rsidRPr="00000665">
                          <w:rPr>
                            <w:rFonts w:ascii="Arial Narrow" w:hAnsi="Arial Narrow"/>
                            <w:b/>
                            <w:bCs/>
                            <w:sz w:val="12"/>
                            <w:szCs w:val="12"/>
                            <w:lang w:val="tr-TR" w:eastAsia="tr-TR"/>
                          </w:rPr>
                          <w:t xml:space="preserve"> BOY</w:t>
                        </w:r>
                      </w:p>
                    </w:tc>
                    <w:tc>
                      <w:tcPr>
                        <w:tcW w:w="32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w:t>
                        </w:r>
                      </w:p>
                    </w:tc>
                  </w:tr>
                  <w:tr w:rsidR="00000665" w:rsidRPr="00000665">
                    <w:trPr>
                      <w:trHeight w:val="20"/>
                      <w:jc w:val="center"/>
                    </w:trPr>
                    <w:tc>
                      <w:tcPr>
                        <w:tcW w:w="325"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TV1820</w:t>
                        </w:r>
                      </w:p>
                    </w:tc>
                    <w:tc>
                      <w:tcPr>
                        <w:tcW w:w="58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PLAKLAR VE VİDALAR</w:t>
                        </w:r>
                      </w:p>
                    </w:tc>
                    <w:tc>
                      <w:tcPr>
                        <w:tcW w:w="522"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İNTERNAL FİKSASYON</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KİLİTLİ PLAK SİSTEMLERİ</w:t>
                        </w:r>
                      </w:p>
                    </w:tc>
                    <w:tc>
                      <w:tcPr>
                        <w:tcW w:w="71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KİLİTLİ KOMBİNE/KOMPRESYONDELİK, SABİT/DEĞİŞKEN AÇILI</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TÜM BOYLAR</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PEDİATRİK KAMALI, KANÜLLÜ/ KANÜLSÜZ PLAK</w:t>
                        </w:r>
                      </w:p>
                    </w:tc>
                    <w:tc>
                      <w:tcPr>
                        <w:tcW w:w="582"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ÇELİK</w:t>
                        </w:r>
                      </w:p>
                    </w:tc>
                    <w:tc>
                      <w:tcPr>
                        <w:tcW w:w="38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TÜM BOYLAR</w:t>
                        </w:r>
                      </w:p>
                    </w:tc>
                    <w:tc>
                      <w:tcPr>
                        <w:tcW w:w="32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720,00</w:t>
                        </w:r>
                      </w:p>
                    </w:tc>
                  </w:tr>
                  <w:tr w:rsidR="00000665" w:rsidRPr="00000665">
                    <w:trPr>
                      <w:trHeight w:val="20"/>
                      <w:jc w:val="center"/>
                    </w:trPr>
                    <w:tc>
                      <w:tcPr>
                        <w:tcW w:w="325" w:type="pct"/>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TV1830</w:t>
                        </w:r>
                      </w:p>
                    </w:tc>
                    <w:tc>
                      <w:tcPr>
                        <w:tcW w:w="58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PLAKLAR VE VİDALAR</w:t>
                        </w:r>
                      </w:p>
                    </w:tc>
                    <w:tc>
                      <w:tcPr>
                        <w:tcW w:w="522"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İNTERNAL FİKSASYON</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KİLİTLİ PLAK SİSTEMLERİ</w:t>
                        </w:r>
                      </w:p>
                    </w:tc>
                    <w:tc>
                      <w:tcPr>
                        <w:tcW w:w="71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KİLİTLİ KOMBİNE/KOMPRESYON DELİK, SABİT/DEĞİŞKEN AÇILI</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TÜM BOYLAR</w:t>
                        </w:r>
                      </w:p>
                    </w:tc>
                    <w:tc>
                      <w:tcPr>
                        <w:tcW w:w="51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PEDİATRİK KAMALI, KANÜLLÜ/ KANÜLSÜZ  PLAK</w:t>
                        </w:r>
                      </w:p>
                    </w:tc>
                    <w:tc>
                      <w:tcPr>
                        <w:tcW w:w="582"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TİTANYUM/ </w:t>
                        </w:r>
                        <w:proofErr w:type="spellStart"/>
                        <w:r w:rsidRPr="00000665">
                          <w:rPr>
                            <w:rFonts w:ascii="Arial Narrow" w:hAnsi="Arial Narrow"/>
                            <w:bCs/>
                            <w:sz w:val="12"/>
                            <w:szCs w:val="12"/>
                            <w:lang w:val="tr-TR" w:eastAsia="tr-TR"/>
                          </w:rPr>
                          <w:t>CoCr</w:t>
                        </w:r>
                        <w:proofErr w:type="spellEnd"/>
                        <w:r w:rsidRPr="00000665">
                          <w:rPr>
                            <w:rFonts w:ascii="Arial Narrow" w:hAnsi="Arial Narrow"/>
                            <w:bCs/>
                            <w:sz w:val="12"/>
                            <w:szCs w:val="12"/>
                            <w:lang w:val="tr-TR" w:eastAsia="tr-TR"/>
                          </w:rPr>
                          <w:t>/KARBON</w:t>
                        </w:r>
                      </w:p>
                    </w:tc>
                    <w:tc>
                      <w:tcPr>
                        <w:tcW w:w="389"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TÜM BOYLAR</w:t>
                        </w:r>
                      </w:p>
                    </w:tc>
                    <w:tc>
                      <w:tcPr>
                        <w:tcW w:w="325" w:type="pct"/>
                        <w:tcBorders>
                          <w:top w:val="nil"/>
                          <w:left w:val="nil"/>
                          <w:bottom w:val="single" w:sz="4" w:space="0" w:color="auto"/>
                          <w:right w:val="single" w:sz="4" w:space="0" w:color="auto"/>
                        </w:tcBorders>
                        <w:vAlign w:val="center"/>
                        <w:hideMark/>
                      </w:tcPr>
                      <w:p w:rsidR="00000665" w:rsidRPr="00000665" w:rsidRDefault="00000665" w:rsidP="00000665">
                        <w:pPr>
                          <w:spacing w:line="20" w:lineRule="atLeast"/>
                          <w:jc w:val="both"/>
                          <w:rPr>
                            <w:rFonts w:ascii="Arial Narrow" w:hAnsi="Arial Narrow"/>
                            <w:bCs/>
                            <w:sz w:val="12"/>
                            <w:szCs w:val="12"/>
                            <w:lang w:val="tr-TR" w:eastAsia="tr-TR"/>
                          </w:rPr>
                        </w:pPr>
                        <w:r w:rsidRPr="00000665">
                          <w:rPr>
                            <w:rFonts w:ascii="Arial Narrow" w:hAnsi="Arial Narrow"/>
                            <w:bCs/>
                            <w:sz w:val="12"/>
                            <w:szCs w:val="12"/>
                            <w:lang w:val="tr-TR" w:eastAsia="tr-TR"/>
                          </w:rPr>
                          <w:t xml:space="preserve"> 800,00</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25 –</w:t>
                  </w:r>
                  <w:r w:rsidRPr="00000665">
                    <w:rPr>
                      <w:sz w:val="18"/>
                      <w:szCs w:val="18"/>
                      <w:lang w:val="tr-TR" w:eastAsia="tr-TR"/>
                    </w:rPr>
                    <w:t xml:space="preserve"> Aynı Tebliğin “</w:t>
                  </w:r>
                  <w:proofErr w:type="spellStart"/>
                  <w:r w:rsidRPr="00000665">
                    <w:rPr>
                      <w:sz w:val="18"/>
                      <w:szCs w:val="18"/>
                      <w:lang w:val="tr-TR" w:eastAsia="tr-TR"/>
                    </w:rPr>
                    <w:t>Nefroloji</w:t>
                  </w:r>
                  <w:proofErr w:type="spellEnd"/>
                  <w:r w:rsidRPr="00000665">
                    <w:rPr>
                      <w:sz w:val="18"/>
                      <w:szCs w:val="18"/>
                      <w:lang w:val="tr-TR" w:eastAsia="tr-TR"/>
                    </w:rPr>
                    <w:t xml:space="preserve"> Branşına Ait Tıbbi Malzemeler” Listesinde (EK-3/P)  yer alan “NF1001” SUT kodlu tıbbi malzemenin fiyatı yeniden belirlenmiştir.</w:t>
                  </w:r>
                </w:p>
                <w:p w:rsidR="00000665" w:rsidRPr="00000665" w:rsidRDefault="00000665" w:rsidP="00000665">
                  <w:pPr>
                    <w:spacing w:before="100" w:beforeAutospacing="1" w:after="100" w:afterAutospacing="1" w:line="240" w:lineRule="exact"/>
                    <w:rPr>
                      <w:sz w:val="18"/>
                      <w:szCs w:val="18"/>
                      <w:lang w:val="tr-TR" w:eastAsia="tr-TR"/>
                    </w:rPr>
                  </w:pPr>
                </w:p>
                <w:tbl>
                  <w:tblPr>
                    <w:tblW w:w="8505" w:type="dxa"/>
                    <w:jc w:val="center"/>
                    <w:tblCellMar>
                      <w:left w:w="70" w:type="dxa"/>
                      <w:right w:w="70" w:type="dxa"/>
                    </w:tblCellMar>
                    <w:tblLook w:val="00A0"/>
                  </w:tblPr>
                  <w:tblGrid>
                    <w:gridCol w:w="1371"/>
                    <w:gridCol w:w="5906"/>
                    <w:gridCol w:w="1228"/>
                  </w:tblGrid>
                  <w:tr w:rsidR="00000665" w:rsidRPr="00000665">
                    <w:trPr>
                      <w:trHeight w:val="255"/>
                      <w:jc w:val="center"/>
                    </w:trPr>
                    <w:tc>
                      <w:tcPr>
                        <w:tcW w:w="1371"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40" w:lineRule="exact"/>
                          <w:jc w:val="center"/>
                          <w:rPr>
                            <w:b/>
                            <w:bCs/>
                            <w:sz w:val="18"/>
                            <w:szCs w:val="18"/>
                            <w:lang w:val="tr-TR" w:eastAsia="tr-TR"/>
                          </w:rPr>
                        </w:pPr>
                        <w:r w:rsidRPr="00000665">
                          <w:rPr>
                            <w:b/>
                            <w:bCs/>
                            <w:sz w:val="18"/>
                            <w:szCs w:val="18"/>
                            <w:lang w:val="tr-TR" w:eastAsia="tr-TR"/>
                          </w:rPr>
                          <w:t>SUT KODU</w:t>
                        </w:r>
                      </w:p>
                    </w:tc>
                    <w:tc>
                      <w:tcPr>
                        <w:tcW w:w="5906"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40" w:lineRule="exact"/>
                          <w:jc w:val="center"/>
                          <w:rPr>
                            <w:b/>
                            <w:bCs/>
                            <w:sz w:val="18"/>
                            <w:szCs w:val="18"/>
                            <w:lang w:val="tr-TR" w:eastAsia="tr-TR"/>
                          </w:rPr>
                        </w:pPr>
                        <w:r w:rsidRPr="00000665">
                          <w:rPr>
                            <w:b/>
                            <w:bCs/>
                            <w:sz w:val="18"/>
                            <w:szCs w:val="18"/>
                            <w:lang w:val="tr-TR" w:eastAsia="tr-TR"/>
                          </w:rPr>
                          <w:t>TIBBİ MALZEME ALAN TANIMI</w:t>
                        </w:r>
                      </w:p>
                    </w:tc>
                    <w:tc>
                      <w:tcPr>
                        <w:tcW w:w="1228"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40" w:lineRule="exact"/>
                          <w:jc w:val="center"/>
                          <w:rPr>
                            <w:b/>
                            <w:bCs/>
                            <w:sz w:val="18"/>
                            <w:szCs w:val="18"/>
                            <w:lang w:val="tr-TR" w:eastAsia="tr-TR"/>
                          </w:rPr>
                        </w:pPr>
                        <w:r w:rsidRPr="00000665">
                          <w:rPr>
                            <w:b/>
                            <w:bCs/>
                            <w:sz w:val="18"/>
                            <w:szCs w:val="18"/>
                            <w:lang w:val="tr-TR" w:eastAsia="tr-TR"/>
                          </w:rPr>
                          <w:t>FİYAT (TL)</w:t>
                        </w:r>
                      </w:p>
                    </w:tc>
                  </w:tr>
                  <w:tr w:rsidR="00000665" w:rsidRPr="00000665">
                    <w:trPr>
                      <w:trHeight w:val="255"/>
                      <w:jc w:val="center"/>
                    </w:trPr>
                    <w:tc>
                      <w:tcPr>
                        <w:tcW w:w="1371" w:type="dxa"/>
                        <w:tcBorders>
                          <w:top w:val="nil"/>
                          <w:left w:val="single" w:sz="4" w:space="0" w:color="auto"/>
                          <w:bottom w:val="single" w:sz="4" w:space="0" w:color="auto"/>
                          <w:right w:val="single" w:sz="4" w:space="0" w:color="auto"/>
                        </w:tcBorders>
                        <w:noWrap/>
                        <w:vAlign w:val="center"/>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NF1001</w:t>
                        </w:r>
                      </w:p>
                    </w:tc>
                    <w:tc>
                      <w:tcPr>
                        <w:tcW w:w="5906" w:type="dxa"/>
                        <w:tcBorders>
                          <w:top w:val="nil"/>
                          <w:left w:val="nil"/>
                          <w:bottom w:val="single" w:sz="4" w:space="0" w:color="auto"/>
                          <w:right w:val="single" w:sz="4" w:space="0" w:color="auto"/>
                        </w:tcBorders>
                        <w:noWrap/>
                        <w:vAlign w:val="center"/>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KATETER, HEMODİYALİZ, GEÇİCİ, ERİŞKİN / HEPARİN KAPLI</w:t>
                        </w:r>
                      </w:p>
                    </w:tc>
                    <w:tc>
                      <w:tcPr>
                        <w:tcW w:w="1228" w:type="dxa"/>
                        <w:tcBorders>
                          <w:top w:val="nil"/>
                          <w:left w:val="nil"/>
                          <w:bottom w:val="single" w:sz="4" w:space="0" w:color="auto"/>
                          <w:right w:val="single" w:sz="4" w:space="0" w:color="auto"/>
                        </w:tcBorders>
                        <w:vAlign w:val="center"/>
                        <w:hideMark/>
                      </w:tcPr>
                      <w:p w:rsidR="00000665" w:rsidRPr="00000665" w:rsidRDefault="00000665" w:rsidP="00000665">
                        <w:pPr>
                          <w:spacing w:line="240" w:lineRule="exact"/>
                          <w:jc w:val="center"/>
                          <w:rPr>
                            <w:bCs/>
                            <w:sz w:val="18"/>
                            <w:szCs w:val="18"/>
                            <w:lang w:val="tr-TR" w:eastAsia="tr-TR"/>
                          </w:rPr>
                        </w:pPr>
                        <w:r w:rsidRPr="00000665">
                          <w:rPr>
                            <w:bCs/>
                            <w:sz w:val="18"/>
                            <w:szCs w:val="18"/>
                            <w:lang w:val="tr-TR" w:eastAsia="tr-TR"/>
                          </w:rPr>
                          <w:t>30,00</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26 –</w:t>
                  </w:r>
                  <w:r w:rsidRPr="00000665">
                    <w:rPr>
                      <w:sz w:val="18"/>
                      <w:szCs w:val="18"/>
                      <w:lang w:val="tr-TR" w:eastAsia="tr-TR"/>
                    </w:rPr>
                    <w:t xml:space="preserve"> Aynı Tebliğin “Göğüs Hastalıkları ve Göğüs Cerrahisi Branşlarına Ait Tıbbi Malzemeler Listesi”nde (EK-3/S) yer alan “GHC1850” SUT kodlu tıbbi malzemeden sonra gelmek üzere “GHC1860” SUT kodlu tıbbi malzeme geri ödeme kural ve kriterleri ile birlikte aşağıdaki şekilde eklenmiştir.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CellMar>
                      <w:left w:w="70" w:type="dxa"/>
                      <w:right w:w="70" w:type="dxa"/>
                    </w:tblCellMar>
                    <w:tblLook w:val="00A0"/>
                  </w:tblPr>
                  <w:tblGrid>
                    <w:gridCol w:w="1303"/>
                    <w:gridCol w:w="5790"/>
                    <w:gridCol w:w="1412"/>
                  </w:tblGrid>
                  <w:tr w:rsidR="00000665" w:rsidRPr="00000665">
                    <w:trPr>
                      <w:trHeight w:val="255"/>
                      <w:jc w:val="center"/>
                    </w:trPr>
                    <w:tc>
                      <w:tcPr>
                        <w:tcW w:w="141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40" w:lineRule="exact"/>
                          <w:jc w:val="both"/>
                          <w:rPr>
                            <w:b/>
                            <w:bCs/>
                            <w:sz w:val="18"/>
                            <w:szCs w:val="18"/>
                            <w:lang w:val="tr-TR" w:eastAsia="tr-TR"/>
                          </w:rPr>
                        </w:pPr>
                        <w:r w:rsidRPr="00000665">
                          <w:rPr>
                            <w:b/>
                            <w:bCs/>
                            <w:sz w:val="18"/>
                            <w:szCs w:val="18"/>
                            <w:lang w:val="tr-TR" w:eastAsia="tr-TR"/>
                          </w:rPr>
                          <w:t>SUT KODU</w:t>
                        </w:r>
                      </w:p>
                    </w:tc>
                    <w:tc>
                      <w:tcPr>
                        <w:tcW w:w="6928"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40" w:lineRule="exact"/>
                          <w:ind w:firstLine="709"/>
                          <w:jc w:val="both"/>
                          <w:rPr>
                            <w:b/>
                            <w:bCs/>
                            <w:sz w:val="18"/>
                            <w:szCs w:val="18"/>
                            <w:lang w:val="tr-TR" w:eastAsia="tr-TR"/>
                          </w:rPr>
                        </w:pPr>
                        <w:r w:rsidRPr="00000665">
                          <w:rPr>
                            <w:b/>
                            <w:bCs/>
                            <w:sz w:val="18"/>
                            <w:szCs w:val="18"/>
                            <w:lang w:val="tr-TR" w:eastAsia="tr-TR"/>
                          </w:rPr>
                          <w:t>TIBBİ MALZEME ALAN TANIMI</w:t>
                        </w:r>
                      </w:p>
                    </w:tc>
                    <w:tc>
                      <w:tcPr>
                        <w:tcW w:w="1577"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40" w:lineRule="exact"/>
                          <w:jc w:val="both"/>
                          <w:rPr>
                            <w:b/>
                            <w:bCs/>
                            <w:sz w:val="18"/>
                            <w:szCs w:val="18"/>
                            <w:lang w:val="tr-TR" w:eastAsia="tr-TR"/>
                          </w:rPr>
                        </w:pPr>
                        <w:r w:rsidRPr="00000665">
                          <w:rPr>
                            <w:b/>
                            <w:bCs/>
                            <w:sz w:val="18"/>
                            <w:szCs w:val="18"/>
                            <w:lang w:val="tr-TR" w:eastAsia="tr-TR"/>
                          </w:rPr>
                          <w:t>FİYAT (TL)</w:t>
                        </w:r>
                      </w:p>
                    </w:tc>
                  </w:tr>
                  <w:tr w:rsidR="00000665" w:rsidRPr="00000665">
                    <w:trPr>
                      <w:trHeight w:val="255"/>
                      <w:jc w:val="center"/>
                    </w:trPr>
                    <w:tc>
                      <w:tcPr>
                        <w:tcW w:w="1419" w:type="dxa"/>
                        <w:tcBorders>
                          <w:top w:val="nil"/>
                          <w:left w:val="single" w:sz="4" w:space="0" w:color="auto"/>
                          <w:bottom w:val="single" w:sz="4" w:space="0" w:color="auto"/>
                          <w:right w:val="single" w:sz="4" w:space="0" w:color="auto"/>
                        </w:tcBorders>
                        <w:vAlign w:val="center"/>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GHC1860</w:t>
                        </w:r>
                      </w:p>
                    </w:tc>
                    <w:tc>
                      <w:tcPr>
                        <w:tcW w:w="6928" w:type="dxa"/>
                        <w:tcBorders>
                          <w:top w:val="nil"/>
                          <w:left w:val="nil"/>
                          <w:bottom w:val="single" w:sz="4" w:space="0" w:color="auto"/>
                          <w:right w:val="single" w:sz="4" w:space="0" w:color="auto"/>
                        </w:tcBorders>
                        <w:vAlign w:val="center"/>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 xml:space="preserve">DİYAFRAGMATİK PACE- ELEKTROT ve UYGULAMA SETİ (Tüm </w:t>
                        </w:r>
                        <w:r w:rsidRPr="00000665">
                          <w:rPr>
                            <w:bCs/>
                            <w:sz w:val="18"/>
                            <w:szCs w:val="18"/>
                            <w:lang w:val="tr-TR" w:eastAsia="tr-TR"/>
                          </w:rPr>
                          <w:lastRenderedPageBreak/>
                          <w:t>malzemeler dahil)</w:t>
                        </w:r>
                      </w:p>
                    </w:tc>
                    <w:tc>
                      <w:tcPr>
                        <w:tcW w:w="1577" w:type="dxa"/>
                        <w:tcBorders>
                          <w:top w:val="nil"/>
                          <w:left w:val="nil"/>
                          <w:bottom w:val="single" w:sz="4" w:space="0" w:color="auto"/>
                          <w:right w:val="single" w:sz="4" w:space="0" w:color="auto"/>
                        </w:tcBorders>
                        <w:vAlign w:val="center"/>
                        <w:hideMark/>
                      </w:tcPr>
                      <w:p w:rsidR="00000665" w:rsidRPr="00000665" w:rsidRDefault="00000665" w:rsidP="00000665">
                        <w:pPr>
                          <w:spacing w:line="240" w:lineRule="exact"/>
                          <w:ind w:firstLine="709"/>
                          <w:jc w:val="both"/>
                          <w:rPr>
                            <w:bCs/>
                            <w:sz w:val="18"/>
                            <w:szCs w:val="18"/>
                            <w:lang w:val="tr-TR" w:eastAsia="tr-TR"/>
                          </w:rPr>
                        </w:pPr>
                        <w:r w:rsidRPr="00000665">
                          <w:rPr>
                            <w:bCs/>
                            <w:sz w:val="18"/>
                            <w:szCs w:val="18"/>
                            <w:lang w:val="tr-TR" w:eastAsia="tr-TR"/>
                          </w:rPr>
                          <w:lastRenderedPageBreak/>
                          <w:t>50000,</w:t>
                        </w:r>
                        <w:r w:rsidRPr="00000665">
                          <w:rPr>
                            <w:bCs/>
                            <w:sz w:val="18"/>
                            <w:szCs w:val="18"/>
                            <w:lang w:val="tr-TR" w:eastAsia="tr-TR"/>
                          </w:rPr>
                          <w:lastRenderedPageBreak/>
                          <w:t>00</w:t>
                        </w:r>
                      </w:p>
                    </w:tc>
                  </w:tr>
                  <w:tr w:rsidR="00000665" w:rsidRPr="00000665">
                    <w:trPr>
                      <w:trHeight w:val="255"/>
                      <w:jc w:val="center"/>
                    </w:trPr>
                    <w:tc>
                      <w:tcPr>
                        <w:tcW w:w="1419" w:type="dxa"/>
                        <w:tcBorders>
                          <w:top w:val="single" w:sz="4" w:space="0" w:color="auto"/>
                          <w:left w:val="single" w:sz="4" w:space="0" w:color="auto"/>
                          <w:bottom w:val="single" w:sz="4" w:space="0" w:color="auto"/>
                          <w:right w:val="single" w:sz="4" w:space="0" w:color="auto"/>
                        </w:tcBorders>
                        <w:vAlign w:val="center"/>
                      </w:tcPr>
                      <w:p w:rsidR="00000665" w:rsidRPr="00000665" w:rsidRDefault="00000665" w:rsidP="00000665">
                        <w:pPr>
                          <w:spacing w:line="240" w:lineRule="exact"/>
                          <w:ind w:firstLine="709"/>
                          <w:jc w:val="both"/>
                          <w:rPr>
                            <w:bCs/>
                            <w:sz w:val="18"/>
                            <w:szCs w:val="18"/>
                            <w:lang w:val="tr-TR" w:eastAsia="tr-TR"/>
                          </w:rPr>
                        </w:pPr>
                      </w:p>
                    </w:tc>
                    <w:tc>
                      <w:tcPr>
                        <w:tcW w:w="6928" w:type="dxa"/>
                        <w:tcBorders>
                          <w:top w:val="single" w:sz="4" w:space="0" w:color="auto"/>
                          <w:left w:val="nil"/>
                          <w:bottom w:val="single" w:sz="4" w:space="0" w:color="auto"/>
                          <w:right w:val="single" w:sz="4" w:space="0" w:color="auto"/>
                        </w:tcBorders>
                        <w:vAlign w:val="center"/>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(1) Aşağıdaki geri ödeme kural ve kriterlerinin birlikte sağlandığı durumlarda Kurumca bedeli karşılanır.</w:t>
                        </w:r>
                      </w:p>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a)  Sadece eğitim verme yetkisi olan üçüncü basamak resmi sağlık kurumları göğüs cerrahisi kliniklerinde,</w:t>
                        </w:r>
                      </w:p>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 xml:space="preserve">b)“Sağlık Bakanlığı </w:t>
                        </w:r>
                        <w:proofErr w:type="spellStart"/>
                        <w:r w:rsidRPr="00000665">
                          <w:rPr>
                            <w:bCs/>
                            <w:sz w:val="18"/>
                            <w:szCs w:val="18"/>
                            <w:lang w:val="tr-TR" w:eastAsia="tr-TR"/>
                          </w:rPr>
                          <w:t>Diyafragma</w:t>
                        </w:r>
                        <w:proofErr w:type="spellEnd"/>
                        <w:r w:rsidRPr="00000665">
                          <w:rPr>
                            <w:bCs/>
                            <w:sz w:val="18"/>
                            <w:szCs w:val="18"/>
                            <w:lang w:val="tr-TR" w:eastAsia="tr-TR"/>
                          </w:rPr>
                          <w:t xml:space="preserve"> Pili Bilimsel Danışma Komisyonu” tarafından onay verilen hastalarda</w:t>
                        </w:r>
                      </w:p>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 xml:space="preserve"> kullanılması halinde Kurumca bedeli karşılanır. </w:t>
                        </w:r>
                      </w:p>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(2) Tanıya dayalı işlemlerde ayrıca faturalandırılabilir.</w:t>
                        </w:r>
                      </w:p>
                    </w:tc>
                    <w:tc>
                      <w:tcPr>
                        <w:tcW w:w="1577" w:type="dxa"/>
                        <w:tcBorders>
                          <w:top w:val="single" w:sz="4" w:space="0" w:color="auto"/>
                          <w:left w:val="nil"/>
                          <w:bottom w:val="single" w:sz="4" w:space="0" w:color="auto"/>
                          <w:right w:val="single" w:sz="4" w:space="0" w:color="auto"/>
                        </w:tcBorders>
                        <w:vAlign w:val="center"/>
                      </w:tcPr>
                      <w:p w:rsidR="00000665" w:rsidRPr="00000665" w:rsidRDefault="00000665" w:rsidP="00000665">
                        <w:pPr>
                          <w:spacing w:line="240" w:lineRule="exact"/>
                          <w:ind w:firstLine="709"/>
                          <w:jc w:val="both"/>
                          <w:rPr>
                            <w:bCs/>
                            <w:sz w:val="18"/>
                            <w:szCs w:val="18"/>
                            <w:lang w:val="tr-TR" w:eastAsia="tr-TR"/>
                          </w:rPr>
                        </w:pP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27 –</w:t>
                  </w:r>
                  <w:r w:rsidRPr="00000665">
                    <w:rPr>
                      <w:sz w:val="18"/>
                      <w:szCs w:val="18"/>
                      <w:lang w:val="tr-TR" w:eastAsia="tr-TR"/>
                    </w:rPr>
                    <w:t xml:space="preserve"> Aynı Tebliğin “Anesteziyoloji, </w:t>
                  </w:r>
                  <w:proofErr w:type="spellStart"/>
                  <w:r w:rsidRPr="00000665">
                    <w:rPr>
                      <w:sz w:val="18"/>
                      <w:szCs w:val="18"/>
                      <w:lang w:val="tr-TR" w:eastAsia="tr-TR"/>
                    </w:rPr>
                    <w:t>Reanimasyon</w:t>
                  </w:r>
                  <w:proofErr w:type="spellEnd"/>
                  <w:r w:rsidRPr="00000665">
                    <w:rPr>
                      <w:sz w:val="18"/>
                      <w:szCs w:val="18"/>
                      <w:lang w:val="tr-TR" w:eastAsia="tr-TR"/>
                    </w:rPr>
                    <w:t xml:space="preserve"> ve Ağrı Tedavisi Branşına Ait Tıbbi Malzemeler” Listesinde (EK-3/T) “AN1260” ve “AN1270” SUT kodlu tıbbi malzemelerin altına ödeme kriterleri ve/veya kuralları olarak aşağıdaki satır eklenmiştir.</w:t>
                  </w:r>
                </w:p>
                <w:p w:rsidR="00000665" w:rsidRPr="00000665" w:rsidRDefault="00000665" w:rsidP="00000665">
                  <w:pPr>
                    <w:spacing w:before="100" w:beforeAutospacing="1" w:after="100" w:afterAutospacing="1" w:line="240" w:lineRule="exact"/>
                    <w:jc w:val="center"/>
                    <w:rPr>
                      <w:b/>
                      <w:sz w:val="18"/>
                      <w:szCs w:val="18"/>
                      <w:lang w:val="tr-TR"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0"/>
                    <w:gridCol w:w="6418"/>
                    <w:gridCol w:w="817"/>
                  </w:tblGrid>
                  <w:tr w:rsidR="00000665" w:rsidRPr="00000665">
                    <w:trPr>
                      <w:jc w:val="center"/>
                    </w:trPr>
                    <w:tc>
                      <w:tcPr>
                        <w:tcW w:w="1384" w:type="dxa"/>
                        <w:tcBorders>
                          <w:top w:val="single" w:sz="4" w:space="0" w:color="auto"/>
                          <w:left w:val="single" w:sz="4" w:space="0" w:color="auto"/>
                          <w:bottom w:val="single" w:sz="4" w:space="0" w:color="auto"/>
                          <w:right w:val="single" w:sz="4" w:space="0" w:color="auto"/>
                        </w:tcBorders>
                      </w:tcPr>
                      <w:p w:rsidR="00000665" w:rsidRPr="00000665" w:rsidRDefault="00000665" w:rsidP="00000665">
                        <w:pPr>
                          <w:spacing w:line="240" w:lineRule="exact"/>
                          <w:jc w:val="both"/>
                          <w:rPr>
                            <w:bCs/>
                            <w:sz w:val="18"/>
                            <w:szCs w:val="18"/>
                            <w:lang w:val="tr-TR" w:eastAsia="tr-TR"/>
                          </w:rPr>
                        </w:pPr>
                      </w:p>
                    </w:tc>
                    <w:tc>
                      <w:tcPr>
                        <w:tcW w:w="6946"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 xml:space="preserve">(1) Sadece 590.001 işlem kodunun kullanılması halinde Kurumca bedeli karşılanır. </w:t>
                        </w:r>
                      </w:p>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(2) İşlem kodu ile birlikte 3 (üç) günde en fazla 1(bir) adet faturalandırılabilir.</w:t>
                        </w:r>
                      </w:p>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(3) Yoğun bakım tanıya dayalı işlemlerinde ayrıca faturalandırılabilir.</w:t>
                        </w:r>
                      </w:p>
                    </w:tc>
                    <w:tc>
                      <w:tcPr>
                        <w:tcW w:w="882" w:type="dxa"/>
                        <w:tcBorders>
                          <w:top w:val="single" w:sz="4" w:space="0" w:color="auto"/>
                          <w:left w:val="single" w:sz="4" w:space="0" w:color="auto"/>
                          <w:bottom w:val="single" w:sz="4" w:space="0" w:color="auto"/>
                          <w:right w:val="single" w:sz="4" w:space="0" w:color="auto"/>
                        </w:tcBorders>
                      </w:tcPr>
                      <w:p w:rsidR="00000665" w:rsidRPr="00000665" w:rsidRDefault="00000665" w:rsidP="00000665">
                        <w:pPr>
                          <w:spacing w:line="240" w:lineRule="exact"/>
                          <w:jc w:val="both"/>
                          <w:rPr>
                            <w:bCs/>
                            <w:sz w:val="18"/>
                            <w:szCs w:val="18"/>
                            <w:lang w:val="tr-TR" w:eastAsia="tr-TR"/>
                          </w:rPr>
                        </w:pPr>
                      </w:p>
                    </w:tc>
                  </w:tr>
                </w:tbl>
                <w:p w:rsidR="00000665" w:rsidRPr="00000665" w:rsidRDefault="00000665" w:rsidP="00000665">
                  <w:pPr>
                    <w:spacing w:before="100" w:beforeAutospacing="1" w:after="100" w:afterAutospacing="1" w:line="240" w:lineRule="exact"/>
                    <w:jc w:val="center"/>
                    <w:rPr>
                      <w:b/>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28 –</w:t>
                  </w:r>
                  <w:r w:rsidRPr="00000665">
                    <w:rPr>
                      <w:sz w:val="18"/>
                      <w:szCs w:val="18"/>
                      <w:lang w:val="tr-TR" w:eastAsia="tr-TR"/>
                    </w:rPr>
                    <w:t xml:space="preserve"> Aynı Tebliğ eki “Sistemik </w:t>
                  </w:r>
                  <w:proofErr w:type="spellStart"/>
                  <w:r w:rsidRPr="00000665">
                    <w:rPr>
                      <w:sz w:val="18"/>
                      <w:szCs w:val="18"/>
                      <w:lang w:val="tr-TR" w:eastAsia="tr-TR"/>
                    </w:rPr>
                    <w:t>Antimikrobik</w:t>
                  </w:r>
                  <w:proofErr w:type="spellEnd"/>
                  <w:r w:rsidRPr="00000665">
                    <w:rPr>
                      <w:sz w:val="18"/>
                      <w:szCs w:val="18"/>
                      <w:lang w:val="tr-TR" w:eastAsia="tr-TR"/>
                    </w:rPr>
                    <w:t xml:space="preserve"> ve Diğer İlaçların </w:t>
                  </w:r>
                  <w:proofErr w:type="spellStart"/>
                  <w:r w:rsidRPr="00000665">
                    <w:rPr>
                      <w:sz w:val="18"/>
                      <w:szCs w:val="18"/>
                      <w:lang w:val="tr-TR" w:eastAsia="tr-TR"/>
                    </w:rPr>
                    <w:t>Reçeteleme</w:t>
                  </w:r>
                  <w:proofErr w:type="spellEnd"/>
                  <w:r w:rsidRPr="00000665">
                    <w:rPr>
                      <w:sz w:val="18"/>
                      <w:szCs w:val="18"/>
                      <w:lang w:val="tr-TR" w:eastAsia="tr-TR"/>
                    </w:rPr>
                    <w:t xml:space="preserve"> Kuralları Listesi”nin (Ek-4/E) “11-ANTİVİRAL İLAÇLAR” başlıklı kısmının “A) HIV/AIDS Tedavisinde Kullanılan Spesifik İlaçlar” adlı alt bölümüne aşağıdaki (15) numaralı satır eklenmiştir.</w:t>
                  </w:r>
                </w:p>
                <w:p w:rsidR="00000665" w:rsidRPr="00000665" w:rsidRDefault="00000665" w:rsidP="00000665">
                  <w:pPr>
                    <w:spacing w:before="100" w:beforeAutospacing="1" w:after="100" w:afterAutospacing="1" w:line="240" w:lineRule="exact"/>
                    <w:jc w:val="center"/>
                    <w:rPr>
                      <w:sz w:val="18"/>
                      <w:szCs w:val="18"/>
                      <w:lang w:val="tr-TR" w:eastAsia="tr-TR"/>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5"/>
                    <w:gridCol w:w="1341"/>
                    <w:gridCol w:w="6729"/>
                  </w:tblGrid>
                  <w:tr w:rsidR="00000665" w:rsidRPr="00000665">
                    <w:trPr>
                      <w:jc w:val="center"/>
                    </w:trPr>
                    <w:tc>
                      <w:tcPr>
                        <w:tcW w:w="440"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40" w:lineRule="exact"/>
                          <w:jc w:val="both"/>
                          <w:rPr>
                            <w:bCs/>
                            <w:sz w:val="18"/>
                            <w:szCs w:val="18"/>
                            <w:lang w:val="tr-TR" w:eastAsia="tr-TR"/>
                          </w:rPr>
                        </w:pPr>
                        <w:r w:rsidRPr="00000665">
                          <w:rPr>
                            <w:bCs/>
                            <w:sz w:val="18"/>
                            <w:szCs w:val="18"/>
                            <w:lang w:val="tr-TR" w:eastAsia="tr-TR"/>
                          </w:rPr>
                          <w:t>15</w:t>
                        </w:r>
                      </w:p>
                    </w:tc>
                    <w:tc>
                      <w:tcPr>
                        <w:tcW w:w="1369" w:type="dxa"/>
                        <w:tcBorders>
                          <w:top w:val="single" w:sz="4" w:space="0" w:color="auto"/>
                          <w:left w:val="single" w:sz="4" w:space="0" w:color="auto"/>
                          <w:bottom w:val="single" w:sz="4" w:space="0" w:color="auto"/>
                          <w:right w:val="single" w:sz="4" w:space="0" w:color="auto"/>
                        </w:tcBorders>
                        <w:vAlign w:val="center"/>
                        <w:hideMark/>
                      </w:tcPr>
                      <w:p w:rsidR="00000665" w:rsidRPr="00000665" w:rsidRDefault="00000665" w:rsidP="00000665">
                        <w:pPr>
                          <w:spacing w:line="240" w:lineRule="exact"/>
                          <w:jc w:val="both"/>
                          <w:rPr>
                            <w:bCs/>
                            <w:sz w:val="18"/>
                            <w:szCs w:val="18"/>
                            <w:lang w:val="tr-TR" w:eastAsia="tr-TR"/>
                          </w:rPr>
                        </w:pPr>
                        <w:proofErr w:type="spellStart"/>
                        <w:r w:rsidRPr="00000665">
                          <w:rPr>
                            <w:bCs/>
                            <w:sz w:val="18"/>
                            <w:szCs w:val="18"/>
                            <w:lang w:val="tr-TR" w:eastAsia="tr-TR"/>
                          </w:rPr>
                          <w:t>Dolutegravir</w:t>
                        </w:r>
                        <w:proofErr w:type="spellEnd"/>
                      </w:p>
                    </w:tc>
                    <w:tc>
                      <w:tcPr>
                        <w:tcW w:w="7513" w:type="dxa"/>
                        <w:tcBorders>
                          <w:top w:val="single" w:sz="4" w:space="0" w:color="auto"/>
                          <w:left w:val="single" w:sz="4" w:space="0" w:color="auto"/>
                          <w:bottom w:val="single" w:sz="4" w:space="0" w:color="auto"/>
                          <w:right w:val="single" w:sz="4" w:space="0" w:color="auto"/>
                        </w:tcBorders>
                        <w:hideMark/>
                      </w:tcPr>
                      <w:p w:rsidR="00000665" w:rsidRPr="00000665" w:rsidRDefault="00000665" w:rsidP="00000665">
                        <w:pPr>
                          <w:spacing w:line="240" w:lineRule="exact"/>
                          <w:ind w:firstLine="709"/>
                          <w:jc w:val="both"/>
                          <w:rPr>
                            <w:bCs/>
                            <w:sz w:val="18"/>
                            <w:szCs w:val="18"/>
                            <w:lang w:val="tr-TR" w:eastAsia="tr-TR"/>
                          </w:rPr>
                        </w:pPr>
                        <w:r w:rsidRPr="00000665">
                          <w:rPr>
                            <w:bCs/>
                            <w:sz w:val="18"/>
                            <w:szCs w:val="18"/>
                            <w:lang w:val="tr-TR" w:eastAsia="tr-TR"/>
                          </w:rPr>
                          <w:t xml:space="preserve">EHU; </w:t>
                        </w:r>
                      </w:p>
                      <w:p w:rsidR="00000665" w:rsidRPr="00000665" w:rsidRDefault="00000665" w:rsidP="00000665">
                        <w:pPr>
                          <w:spacing w:line="240" w:lineRule="exact"/>
                          <w:ind w:firstLine="709"/>
                          <w:jc w:val="both"/>
                          <w:rPr>
                            <w:bCs/>
                            <w:sz w:val="18"/>
                            <w:szCs w:val="18"/>
                            <w:lang w:val="tr-TR" w:eastAsia="tr-TR"/>
                          </w:rPr>
                        </w:pPr>
                        <w:r w:rsidRPr="00000665">
                          <w:rPr>
                            <w:bCs/>
                            <w:sz w:val="18"/>
                            <w:szCs w:val="18"/>
                            <w:lang w:val="tr-TR" w:eastAsia="tr-TR"/>
                          </w:rPr>
                          <w:t xml:space="preserve"> HIV-1 ile </w:t>
                        </w:r>
                        <w:proofErr w:type="spellStart"/>
                        <w:r w:rsidRPr="00000665">
                          <w:rPr>
                            <w:bCs/>
                            <w:sz w:val="18"/>
                            <w:szCs w:val="18"/>
                            <w:lang w:val="tr-TR" w:eastAsia="tr-TR"/>
                          </w:rPr>
                          <w:t>enfekte</w:t>
                        </w:r>
                        <w:proofErr w:type="spellEnd"/>
                        <w:r w:rsidRPr="00000665">
                          <w:rPr>
                            <w:bCs/>
                            <w:sz w:val="18"/>
                            <w:szCs w:val="18"/>
                            <w:lang w:val="tr-TR" w:eastAsia="tr-TR"/>
                          </w:rPr>
                          <w:t xml:space="preserve"> ve </w:t>
                        </w:r>
                        <w:proofErr w:type="spellStart"/>
                        <w:r w:rsidRPr="00000665">
                          <w:rPr>
                            <w:bCs/>
                            <w:sz w:val="18"/>
                            <w:szCs w:val="18"/>
                            <w:lang w:val="tr-TR" w:eastAsia="tr-TR"/>
                          </w:rPr>
                          <w:t>integraz</w:t>
                        </w:r>
                        <w:proofErr w:type="spellEnd"/>
                        <w:r w:rsidRPr="00000665">
                          <w:rPr>
                            <w:bCs/>
                            <w:sz w:val="18"/>
                            <w:szCs w:val="18"/>
                            <w:lang w:val="tr-TR" w:eastAsia="tr-TR"/>
                          </w:rPr>
                          <w:t xml:space="preserve"> sınıfına dirençli olmayan hastalarda maksimum 1x1 dozunda;</w:t>
                        </w:r>
                      </w:p>
                      <w:p w:rsidR="00000665" w:rsidRPr="00000665" w:rsidRDefault="00000665" w:rsidP="00000665">
                        <w:pPr>
                          <w:spacing w:line="240" w:lineRule="exact"/>
                          <w:ind w:firstLine="709"/>
                          <w:jc w:val="both"/>
                          <w:rPr>
                            <w:bCs/>
                            <w:sz w:val="18"/>
                            <w:szCs w:val="18"/>
                            <w:lang w:val="tr-TR" w:eastAsia="tr-TR"/>
                          </w:rPr>
                        </w:pPr>
                        <w:r w:rsidRPr="00000665">
                          <w:rPr>
                            <w:bCs/>
                            <w:sz w:val="18"/>
                            <w:szCs w:val="18"/>
                            <w:lang w:val="tr-TR" w:eastAsia="tr-TR"/>
                          </w:rPr>
                          <w:t xml:space="preserve"> HIV-1 ile </w:t>
                        </w:r>
                        <w:proofErr w:type="spellStart"/>
                        <w:r w:rsidRPr="00000665">
                          <w:rPr>
                            <w:bCs/>
                            <w:sz w:val="18"/>
                            <w:szCs w:val="18"/>
                            <w:lang w:val="tr-TR" w:eastAsia="tr-TR"/>
                          </w:rPr>
                          <w:t>enfekte</w:t>
                        </w:r>
                        <w:proofErr w:type="spellEnd"/>
                        <w:r w:rsidRPr="00000665">
                          <w:rPr>
                            <w:bCs/>
                            <w:sz w:val="18"/>
                            <w:szCs w:val="18"/>
                            <w:lang w:val="tr-TR" w:eastAsia="tr-TR"/>
                          </w:rPr>
                          <w:t xml:space="preserve"> ve </w:t>
                        </w:r>
                        <w:proofErr w:type="spellStart"/>
                        <w:r w:rsidRPr="00000665">
                          <w:rPr>
                            <w:bCs/>
                            <w:sz w:val="18"/>
                            <w:szCs w:val="18"/>
                            <w:lang w:val="tr-TR" w:eastAsia="tr-TR"/>
                          </w:rPr>
                          <w:t>integraz</w:t>
                        </w:r>
                        <w:proofErr w:type="spellEnd"/>
                        <w:r w:rsidRPr="00000665">
                          <w:rPr>
                            <w:bCs/>
                            <w:sz w:val="18"/>
                            <w:szCs w:val="18"/>
                            <w:lang w:val="tr-TR" w:eastAsia="tr-TR"/>
                          </w:rPr>
                          <w:t xml:space="preserve"> sınıfına dirençli olan hastalarda ise maksimum 2x1 dozunda         kullanılır.</w:t>
                        </w:r>
                      </w:p>
                    </w:tc>
                  </w:tr>
                </w:tbl>
                <w:p w:rsidR="00000665" w:rsidRPr="00000665" w:rsidRDefault="00000665" w:rsidP="00000665">
                  <w:pPr>
                    <w:spacing w:before="100" w:beforeAutospacing="1" w:after="100" w:afterAutospacing="1" w:line="240" w:lineRule="exact"/>
                    <w:jc w:val="center"/>
                    <w:rPr>
                      <w:sz w:val="18"/>
                      <w:szCs w:val="18"/>
                      <w:lang w:val="tr-TR" w:eastAsia="tr-TR"/>
                    </w:rPr>
                  </w:pP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29 –</w:t>
                  </w:r>
                  <w:r w:rsidRPr="00000665">
                    <w:rPr>
                      <w:sz w:val="18"/>
                      <w:szCs w:val="18"/>
                      <w:lang w:val="tr-TR" w:eastAsia="tr-TR"/>
                    </w:rPr>
                    <w:t xml:space="preserve"> Aynı Tebliğ eki “Ayakta Tedavide Sağlık Raporu (Uzman Hekim Raporu/Sağlık Kurulu Raporu) ile Verilebilecek İlaçlar Listesi”nde (Ek-4/F)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58 numaralı maddesi aşağıdaki şekilde değiştirilmiştir.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“58. </w:t>
                  </w:r>
                  <w:proofErr w:type="spellStart"/>
                  <w:r w:rsidRPr="00000665">
                    <w:rPr>
                      <w:sz w:val="18"/>
                      <w:szCs w:val="18"/>
                      <w:lang w:val="tr-TR" w:eastAsia="tr-TR"/>
                    </w:rPr>
                    <w:t>Eplerenon</w:t>
                  </w:r>
                  <w:proofErr w:type="spellEnd"/>
                  <w:r w:rsidRPr="00000665">
                    <w:rPr>
                      <w:sz w:val="18"/>
                      <w:szCs w:val="18"/>
                      <w:lang w:val="tr-TR" w:eastAsia="tr-TR"/>
                    </w:rPr>
                    <w:t xml:space="preserve">; Yalnızca </w:t>
                  </w:r>
                  <w:proofErr w:type="spellStart"/>
                  <w:r w:rsidRPr="00000665">
                    <w:rPr>
                      <w:sz w:val="18"/>
                      <w:szCs w:val="18"/>
                      <w:lang w:val="tr-TR" w:eastAsia="tr-TR"/>
                    </w:rPr>
                    <w:t>spironolakton</w:t>
                  </w:r>
                  <w:proofErr w:type="spellEnd"/>
                  <w:r w:rsidRPr="00000665">
                    <w:rPr>
                      <w:sz w:val="18"/>
                      <w:szCs w:val="18"/>
                      <w:lang w:val="tr-TR" w:eastAsia="tr-TR"/>
                    </w:rPr>
                    <w:t xml:space="preserve"> tedavisi altındayken </w:t>
                  </w:r>
                  <w:proofErr w:type="spellStart"/>
                  <w:r w:rsidRPr="00000665">
                    <w:rPr>
                      <w:sz w:val="18"/>
                      <w:szCs w:val="18"/>
                      <w:lang w:val="tr-TR" w:eastAsia="tr-TR"/>
                    </w:rPr>
                    <w:t>jinekomasti</w:t>
                  </w:r>
                  <w:proofErr w:type="spellEnd"/>
                  <w:r w:rsidRPr="00000665">
                    <w:rPr>
                      <w:sz w:val="18"/>
                      <w:szCs w:val="18"/>
                      <w:lang w:val="tr-TR" w:eastAsia="tr-TR"/>
                    </w:rPr>
                    <w:t xml:space="preserve"> gelişen veya </w:t>
                  </w:r>
                  <w:proofErr w:type="spellStart"/>
                  <w:r w:rsidRPr="00000665">
                    <w:rPr>
                      <w:sz w:val="18"/>
                      <w:szCs w:val="18"/>
                      <w:lang w:val="tr-TR" w:eastAsia="tr-TR"/>
                    </w:rPr>
                    <w:t>spironolaktonu</w:t>
                  </w:r>
                  <w:proofErr w:type="spellEnd"/>
                  <w:r w:rsidRPr="00000665">
                    <w:rPr>
                      <w:sz w:val="18"/>
                      <w:szCs w:val="18"/>
                      <w:lang w:val="tr-TR" w:eastAsia="tr-TR"/>
                    </w:rPr>
                    <w:t xml:space="preserve"> </w:t>
                  </w:r>
                  <w:proofErr w:type="spellStart"/>
                  <w:r w:rsidRPr="00000665">
                    <w:rPr>
                      <w:sz w:val="18"/>
                      <w:szCs w:val="18"/>
                      <w:lang w:val="tr-TR" w:eastAsia="tr-TR"/>
                    </w:rPr>
                    <w:t>tolere</w:t>
                  </w:r>
                  <w:proofErr w:type="spellEnd"/>
                  <w:r w:rsidRPr="00000665">
                    <w:rPr>
                      <w:sz w:val="18"/>
                      <w:szCs w:val="18"/>
                      <w:lang w:val="tr-TR" w:eastAsia="tr-TR"/>
                    </w:rPr>
                    <w:t xml:space="preserve"> edemeyen;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Akut MI sonrası klinik kalp yetmezliği olan sol </w:t>
                  </w:r>
                  <w:proofErr w:type="spellStart"/>
                  <w:r w:rsidRPr="00000665">
                    <w:rPr>
                      <w:sz w:val="18"/>
                      <w:szCs w:val="18"/>
                      <w:lang w:val="tr-TR" w:eastAsia="tr-TR"/>
                    </w:rPr>
                    <w:t>ventrikül</w:t>
                  </w:r>
                  <w:proofErr w:type="spellEnd"/>
                  <w:r w:rsidRPr="00000665">
                    <w:rPr>
                      <w:sz w:val="18"/>
                      <w:szCs w:val="18"/>
                      <w:lang w:val="tr-TR" w:eastAsia="tr-TR"/>
                    </w:rPr>
                    <w:t xml:space="preserve"> </w:t>
                  </w:r>
                  <w:proofErr w:type="spellStart"/>
                  <w:r w:rsidRPr="00000665">
                    <w:rPr>
                      <w:sz w:val="18"/>
                      <w:szCs w:val="18"/>
                      <w:lang w:val="tr-TR" w:eastAsia="tr-TR"/>
                    </w:rPr>
                    <w:t>disfonksiyonlu</w:t>
                  </w:r>
                  <w:proofErr w:type="spellEnd"/>
                  <w:r w:rsidRPr="00000665">
                    <w:rPr>
                      <w:sz w:val="18"/>
                      <w:szCs w:val="18"/>
                      <w:lang w:val="tr-TR" w:eastAsia="tr-TR"/>
                    </w:rPr>
                    <w:t xml:space="preserve"> (sol </w:t>
                  </w:r>
                  <w:proofErr w:type="spellStart"/>
                  <w:r w:rsidRPr="00000665">
                    <w:rPr>
                      <w:sz w:val="18"/>
                      <w:szCs w:val="18"/>
                      <w:lang w:val="tr-TR" w:eastAsia="tr-TR"/>
                    </w:rPr>
                    <w:t>ventrikül</w:t>
                  </w:r>
                  <w:proofErr w:type="spellEnd"/>
                  <w:r w:rsidRPr="00000665">
                    <w:rPr>
                      <w:sz w:val="18"/>
                      <w:szCs w:val="18"/>
                      <w:lang w:val="tr-TR" w:eastAsia="tr-TR"/>
                    </w:rPr>
                    <w:t xml:space="preserve"> </w:t>
                  </w:r>
                  <w:proofErr w:type="spellStart"/>
                  <w:r w:rsidRPr="00000665">
                    <w:rPr>
                      <w:sz w:val="18"/>
                      <w:szCs w:val="18"/>
                      <w:lang w:val="tr-TR" w:eastAsia="tr-TR"/>
                    </w:rPr>
                    <w:t>ejeksiyon</w:t>
                  </w:r>
                  <w:proofErr w:type="spellEnd"/>
                  <w:r w:rsidRPr="00000665">
                    <w:rPr>
                      <w:sz w:val="18"/>
                      <w:szCs w:val="18"/>
                      <w:lang w:val="tr-TR" w:eastAsia="tr-TR"/>
                    </w:rPr>
                    <w:t xml:space="preserve"> fraksiyonu ((LVEF)≤%40) hastaların tedavisinde,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b) Standart tedaviye ek olarak, kronik kalp yetmezliği (NYHA Sınıf II) ve sol </w:t>
                  </w:r>
                  <w:proofErr w:type="spellStart"/>
                  <w:r w:rsidRPr="00000665">
                    <w:rPr>
                      <w:sz w:val="18"/>
                      <w:szCs w:val="18"/>
                      <w:lang w:val="tr-TR" w:eastAsia="tr-TR"/>
                    </w:rPr>
                    <w:t>ventrikül</w:t>
                  </w:r>
                  <w:proofErr w:type="spellEnd"/>
                  <w:r w:rsidRPr="00000665">
                    <w:rPr>
                      <w:sz w:val="18"/>
                      <w:szCs w:val="18"/>
                      <w:lang w:val="tr-TR" w:eastAsia="tr-TR"/>
                    </w:rPr>
                    <w:t xml:space="preserve"> </w:t>
                  </w:r>
                  <w:proofErr w:type="spellStart"/>
                  <w:r w:rsidRPr="00000665">
                    <w:rPr>
                      <w:sz w:val="18"/>
                      <w:szCs w:val="18"/>
                      <w:lang w:val="tr-TR" w:eastAsia="tr-TR"/>
                    </w:rPr>
                    <w:t>sistolik</w:t>
                  </w:r>
                  <w:proofErr w:type="spellEnd"/>
                  <w:r w:rsidRPr="00000665">
                    <w:rPr>
                      <w:sz w:val="18"/>
                      <w:szCs w:val="18"/>
                      <w:lang w:val="tr-TR" w:eastAsia="tr-TR"/>
                    </w:rPr>
                    <w:t xml:space="preserve"> </w:t>
                  </w:r>
                  <w:proofErr w:type="spellStart"/>
                  <w:r w:rsidRPr="00000665">
                    <w:rPr>
                      <w:sz w:val="18"/>
                      <w:szCs w:val="18"/>
                      <w:lang w:val="tr-TR" w:eastAsia="tr-TR"/>
                    </w:rPr>
                    <w:t>disfonksiyonu</w:t>
                  </w:r>
                  <w:proofErr w:type="spellEnd"/>
                  <w:r w:rsidRPr="00000665">
                    <w:rPr>
                      <w:sz w:val="18"/>
                      <w:szCs w:val="18"/>
                      <w:lang w:val="tr-TR" w:eastAsia="tr-TR"/>
                    </w:rPr>
                    <w:t xml:space="preserve"> (LVEF ≤ %30) olan yetişkin hastaların tedavisinde,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kardiyoloji uzman hekimlerince düzenlenen rapora istinaden tüm hekimlerce </w:t>
                  </w:r>
                  <w:proofErr w:type="spellStart"/>
                  <w:r w:rsidRPr="00000665">
                    <w:rPr>
                      <w:sz w:val="18"/>
                      <w:szCs w:val="18"/>
                      <w:lang w:val="tr-TR" w:eastAsia="tr-TR"/>
                    </w:rPr>
                    <w:t>reçetelenebilir</w:t>
                  </w:r>
                  <w:proofErr w:type="spellEnd"/>
                  <w:r w:rsidRPr="00000665">
                    <w:rPr>
                      <w:sz w:val="18"/>
                      <w:szCs w:val="18"/>
                      <w:lang w:val="tr-TR" w:eastAsia="tr-TR"/>
                    </w:rPr>
                    <w:t>.”</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59 numaralı maddesine “</w:t>
                  </w:r>
                  <w:proofErr w:type="spellStart"/>
                  <w:r w:rsidRPr="00000665">
                    <w:rPr>
                      <w:sz w:val="18"/>
                      <w:szCs w:val="18"/>
                      <w:lang w:val="tr-TR" w:eastAsia="tr-TR"/>
                    </w:rPr>
                    <w:t>serebral</w:t>
                  </w:r>
                  <w:proofErr w:type="spellEnd"/>
                  <w:r w:rsidRPr="00000665">
                    <w:rPr>
                      <w:sz w:val="18"/>
                      <w:szCs w:val="18"/>
                      <w:lang w:val="tr-TR" w:eastAsia="tr-TR"/>
                    </w:rPr>
                    <w:t xml:space="preserve"> </w:t>
                  </w:r>
                  <w:proofErr w:type="spellStart"/>
                  <w:r w:rsidRPr="00000665">
                    <w:rPr>
                      <w:sz w:val="18"/>
                      <w:szCs w:val="18"/>
                      <w:lang w:val="tr-TR" w:eastAsia="tr-TR"/>
                    </w:rPr>
                    <w:t>ataksi</w:t>
                  </w:r>
                  <w:proofErr w:type="spellEnd"/>
                  <w:r w:rsidRPr="00000665">
                    <w:rPr>
                      <w:sz w:val="18"/>
                      <w:szCs w:val="18"/>
                      <w:lang w:val="tr-TR" w:eastAsia="tr-TR"/>
                    </w:rPr>
                    <w:t xml:space="preserve"> </w:t>
                  </w:r>
                  <w:proofErr w:type="spellStart"/>
                  <w:r w:rsidRPr="00000665">
                    <w:rPr>
                      <w:sz w:val="18"/>
                      <w:szCs w:val="18"/>
                      <w:lang w:val="tr-TR" w:eastAsia="tr-TR"/>
                    </w:rPr>
                    <w:t>endikasyonunda</w:t>
                  </w:r>
                  <w:proofErr w:type="spellEnd"/>
                  <w:r w:rsidRPr="00000665">
                    <w:rPr>
                      <w:sz w:val="18"/>
                      <w:szCs w:val="18"/>
                      <w:lang w:val="tr-TR" w:eastAsia="tr-TR"/>
                    </w:rPr>
                    <w:t>” ibaresinden sonra gelmek üzere “ödenir”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lastRenderedPageBreak/>
                    <w:t>MADDE 30 –</w:t>
                  </w:r>
                  <w:r w:rsidRPr="00000665">
                    <w:rPr>
                      <w:sz w:val="18"/>
                      <w:szCs w:val="18"/>
                      <w:lang w:val="tr-TR" w:eastAsia="tr-TR"/>
                    </w:rPr>
                    <w:t xml:space="preserve"> Aynı Tebliğ eki “Sadece Yatan Hastalarda Kullanımı Halinde Bedelleri Ödenecek İlaçlar Listesi”nde (Ek-4/G) aşağıdaki düzenlemeler yapılmıştır.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a)  5 numaralı maddesinde yer alan “</w:t>
                  </w:r>
                  <w:proofErr w:type="spellStart"/>
                  <w:r w:rsidRPr="00000665">
                    <w:rPr>
                      <w:sz w:val="18"/>
                      <w:szCs w:val="18"/>
                      <w:lang w:val="tr-TR" w:eastAsia="tr-TR"/>
                    </w:rPr>
                    <w:t>Gansiklovir</w:t>
                  </w:r>
                  <w:proofErr w:type="spellEnd"/>
                  <w:r w:rsidRPr="00000665">
                    <w:rPr>
                      <w:sz w:val="18"/>
                      <w:szCs w:val="18"/>
                      <w:lang w:val="tr-TR" w:eastAsia="tr-TR"/>
                    </w:rPr>
                    <w:t>” ibaresinden sonra gelmek üzere “</w:t>
                  </w:r>
                  <w:proofErr w:type="spellStart"/>
                  <w:r w:rsidRPr="00000665">
                    <w:rPr>
                      <w:sz w:val="18"/>
                      <w:szCs w:val="18"/>
                      <w:lang w:val="tr-TR" w:eastAsia="tr-TR"/>
                    </w:rPr>
                    <w:t>Parenteral</w:t>
                  </w:r>
                  <w:proofErr w:type="spellEnd"/>
                  <w:r w:rsidRPr="00000665">
                    <w:rPr>
                      <w:sz w:val="18"/>
                      <w:szCs w:val="18"/>
                      <w:lang w:val="tr-TR" w:eastAsia="tr-TR"/>
                    </w:rPr>
                    <w:t>”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50 numaralı maddesinde yer alan “</w:t>
                  </w:r>
                  <w:proofErr w:type="spellStart"/>
                  <w:r w:rsidRPr="00000665">
                    <w:rPr>
                      <w:sz w:val="18"/>
                      <w:szCs w:val="18"/>
                      <w:lang w:val="tr-TR" w:eastAsia="tr-TR"/>
                    </w:rPr>
                    <w:t>Adenozin</w:t>
                  </w:r>
                  <w:proofErr w:type="spellEnd"/>
                  <w:r w:rsidRPr="00000665">
                    <w:rPr>
                      <w:sz w:val="18"/>
                      <w:szCs w:val="18"/>
                      <w:lang w:val="tr-TR" w:eastAsia="tr-TR"/>
                    </w:rPr>
                    <w:t>” ibaresinden sonra gelmek üzere “6 mg/2 ml ve” ibaresi eklenmiştir.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31 –</w:t>
                  </w:r>
                  <w:r w:rsidRPr="00000665">
                    <w:rPr>
                      <w:sz w:val="18"/>
                      <w:szCs w:val="18"/>
                      <w:lang w:val="tr-TR" w:eastAsia="tr-TR"/>
                    </w:rPr>
                    <w:t xml:space="preserve"> Bu Tebliğin;</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 xml:space="preserve">a) 6, 21 inci maddenin (b) bendi ile 27 </w:t>
                  </w:r>
                  <w:proofErr w:type="spellStart"/>
                  <w:r w:rsidRPr="00000665">
                    <w:rPr>
                      <w:sz w:val="18"/>
                      <w:szCs w:val="18"/>
                      <w:lang w:val="tr-TR" w:eastAsia="tr-TR"/>
                    </w:rPr>
                    <w:t>nci</w:t>
                  </w:r>
                  <w:proofErr w:type="spellEnd"/>
                  <w:r w:rsidRPr="00000665">
                    <w:rPr>
                      <w:sz w:val="18"/>
                      <w:szCs w:val="18"/>
                      <w:lang w:val="tr-TR" w:eastAsia="tr-TR"/>
                    </w:rPr>
                    <w:t xml:space="preserve"> maddesi 1/10/2014 tarihinden geçerli olmak üzere yayımı tarihinde,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b) 8 inci maddesi ile 21 inci maddenin (e) bendi 1/2/2015 tarihinden geçerli olmak üzere yayımı tarihinde,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c) 9,19 ve 21 inci maddenin (a) bendi ile 22 ila 25 inci maddeleri 1/3/2015 tarihinden geçerli olmak üzere yayımı tarihinde,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ç) 11 ila 18 inci maddeleri ile 28 ila 30 uncu maddeleri yayımı tarihinden 7 iş günü sonra,</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d) Diğer maddeleri yayımı tarihinde,</w:t>
                  </w:r>
                </w:p>
                <w:p w:rsidR="00000665" w:rsidRPr="00000665" w:rsidRDefault="00000665" w:rsidP="00000665">
                  <w:pPr>
                    <w:spacing w:before="100" w:beforeAutospacing="1" w:after="100" w:afterAutospacing="1" w:line="240" w:lineRule="exact"/>
                    <w:rPr>
                      <w:sz w:val="18"/>
                      <w:szCs w:val="18"/>
                      <w:lang w:val="tr-TR" w:eastAsia="tr-TR"/>
                    </w:rPr>
                  </w:pPr>
                  <w:r w:rsidRPr="00000665">
                    <w:rPr>
                      <w:sz w:val="18"/>
                      <w:szCs w:val="18"/>
                      <w:lang w:val="tr-TR" w:eastAsia="tr-TR"/>
                    </w:rPr>
                    <w:t>yürürlüğe girer.</w:t>
                  </w:r>
                </w:p>
                <w:p w:rsidR="00000665" w:rsidRPr="00000665" w:rsidRDefault="00000665" w:rsidP="00000665">
                  <w:pPr>
                    <w:spacing w:before="100" w:beforeAutospacing="1" w:after="100" w:afterAutospacing="1" w:line="240" w:lineRule="exact"/>
                    <w:rPr>
                      <w:sz w:val="18"/>
                      <w:szCs w:val="18"/>
                      <w:lang w:val="tr-TR" w:eastAsia="tr-TR"/>
                    </w:rPr>
                  </w:pPr>
                  <w:r w:rsidRPr="00000665">
                    <w:rPr>
                      <w:b/>
                      <w:sz w:val="18"/>
                      <w:szCs w:val="18"/>
                      <w:lang w:val="tr-TR" w:eastAsia="tr-TR"/>
                    </w:rPr>
                    <w:t>MADDE 32 –</w:t>
                  </w:r>
                  <w:r w:rsidRPr="00000665">
                    <w:rPr>
                      <w:sz w:val="18"/>
                      <w:szCs w:val="18"/>
                      <w:lang w:val="tr-TR" w:eastAsia="tr-TR"/>
                    </w:rPr>
                    <w:t xml:space="preserve"> Bu Tebliğ hükümlerini Sosyal Güvenlik Kurumu Başkanı yürütür.</w:t>
                  </w:r>
                </w:p>
                <w:p w:rsidR="00000665" w:rsidRPr="00000665" w:rsidRDefault="00000665" w:rsidP="00000665">
                  <w:pPr>
                    <w:spacing w:before="100" w:beforeAutospacing="1" w:after="100" w:afterAutospacing="1"/>
                    <w:jc w:val="center"/>
                    <w:rPr>
                      <w:rFonts w:ascii="Arial" w:hAnsi="Arial" w:cs="Arial"/>
                      <w:b/>
                      <w:color w:val="000080"/>
                      <w:sz w:val="18"/>
                      <w:szCs w:val="18"/>
                      <w:lang w:val="tr-TR" w:eastAsia="tr-TR"/>
                    </w:rPr>
                  </w:pPr>
                </w:p>
              </w:tc>
            </w:tr>
          </w:tbl>
          <w:p w:rsidR="00000665" w:rsidRPr="00000665" w:rsidRDefault="00000665" w:rsidP="00000665">
            <w:pPr>
              <w:jc w:val="center"/>
              <w:rPr>
                <w:sz w:val="20"/>
                <w:szCs w:val="20"/>
                <w:lang w:val="tr-TR" w:eastAsia="tr-TR"/>
              </w:rPr>
            </w:pPr>
          </w:p>
        </w:tc>
      </w:tr>
    </w:tbl>
    <w:p w:rsidR="00000665" w:rsidRPr="00000665" w:rsidRDefault="00000665" w:rsidP="00000665">
      <w:pPr>
        <w:jc w:val="center"/>
        <w:rPr>
          <w:lang w:val="tr-TR" w:eastAsia="tr-TR"/>
        </w:rPr>
      </w:pPr>
    </w:p>
    <w:p w:rsidR="00BB3A4F" w:rsidRDefault="00BB3A4F"/>
    <w:sectPr w:rsidR="00BB3A4F" w:rsidSect="00BB3A4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5F" w:usb2="00000000" w:usb3="00000000" w:csb0="0000019F" w:csb1="00000000"/>
  </w:font>
  <w:font w:name="Palatino Linotype">
    <w:panose1 w:val="02040502050505030304"/>
    <w:charset w:val="A2"/>
    <w:family w:val="roman"/>
    <w:pitch w:val="variable"/>
    <w:sig w:usb0="E0000287" w:usb1="40000013" w:usb2="00000000" w:usb3="00000000" w:csb0="0000019F"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000665"/>
    <w:rsid w:val="00000665"/>
    <w:rsid w:val="00001DE7"/>
    <w:rsid w:val="001469BD"/>
    <w:rsid w:val="001A1448"/>
    <w:rsid w:val="00670886"/>
    <w:rsid w:val="006A0A04"/>
    <w:rsid w:val="008C1DF2"/>
    <w:rsid w:val="009C4855"/>
    <w:rsid w:val="00BB3A4F"/>
    <w:rsid w:val="00C1394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C1DF2"/>
    <w:rPr>
      <w:sz w:val="24"/>
      <w:szCs w:val="24"/>
      <w:lang w:val="en-US" w:eastAsia="en-US"/>
    </w:rPr>
  </w:style>
  <w:style w:type="paragraph" w:styleId="Balk1">
    <w:name w:val="heading 1"/>
    <w:basedOn w:val="Normal"/>
    <w:next w:val="Normal"/>
    <w:link w:val="Balk1Char"/>
    <w:qFormat/>
    <w:rsid w:val="008C1DF2"/>
    <w:pPr>
      <w:keepNext/>
      <w:outlineLvl w:val="0"/>
    </w:pPr>
    <w:rPr>
      <w:u w:val="single"/>
      <w:lang w:val="tr-TR"/>
    </w:rPr>
  </w:style>
  <w:style w:type="paragraph" w:styleId="Balk2">
    <w:name w:val="heading 2"/>
    <w:basedOn w:val="Normal"/>
    <w:next w:val="Normal"/>
    <w:link w:val="Balk2Char"/>
    <w:qFormat/>
    <w:rsid w:val="008C1DF2"/>
    <w:pPr>
      <w:keepNext/>
      <w:outlineLvl w:val="1"/>
    </w:pPr>
    <w:rPr>
      <w:rFonts w:ascii="Arial" w:hAnsi="Arial" w:cs="Arial"/>
      <w:b/>
      <w:bCs/>
      <w:sz w:val="22"/>
      <w:lang w:val="tr-TR"/>
    </w:rPr>
  </w:style>
  <w:style w:type="paragraph" w:styleId="Balk5">
    <w:name w:val="heading 5"/>
    <w:basedOn w:val="Normal"/>
    <w:next w:val="Normal"/>
    <w:link w:val="Balk5Char"/>
    <w:qFormat/>
    <w:rsid w:val="008C1DF2"/>
    <w:pPr>
      <w:keepNext/>
      <w:outlineLvl w:val="4"/>
    </w:pPr>
    <w:rPr>
      <w:rFonts w:ascii="Arial" w:hAnsi="Arial" w:cs="Arial"/>
      <w:b/>
      <w:bCs/>
      <w:sz w:val="20"/>
      <w:lang w:val="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8C1DF2"/>
    <w:rPr>
      <w:sz w:val="24"/>
      <w:szCs w:val="24"/>
      <w:u w:val="single"/>
      <w:lang w:eastAsia="en-US"/>
    </w:rPr>
  </w:style>
  <w:style w:type="character" w:customStyle="1" w:styleId="Balk2Char">
    <w:name w:val="Başlık 2 Char"/>
    <w:basedOn w:val="VarsaylanParagrafYazTipi"/>
    <w:link w:val="Balk2"/>
    <w:rsid w:val="008C1DF2"/>
    <w:rPr>
      <w:rFonts w:ascii="Arial" w:hAnsi="Arial" w:cs="Arial"/>
      <w:b/>
      <w:bCs/>
      <w:sz w:val="22"/>
      <w:szCs w:val="24"/>
      <w:lang w:eastAsia="en-US"/>
    </w:rPr>
  </w:style>
  <w:style w:type="character" w:customStyle="1" w:styleId="Balk5Char">
    <w:name w:val="Başlık 5 Char"/>
    <w:basedOn w:val="VarsaylanParagrafYazTipi"/>
    <w:link w:val="Balk5"/>
    <w:rsid w:val="008C1DF2"/>
    <w:rPr>
      <w:rFonts w:ascii="Arial" w:hAnsi="Arial" w:cs="Arial"/>
      <w:b/>
      <w:bCs/>
      <w:szCs w:val="24"/>
      <w:lang w:eastAsia="en-US"/>
    </w:rPr>
  </w:style>
  <w:style w:type="paragraph" w:styleId="AltKonuBal">
    <w:name w:val="Subtitle"/>
    <w:basedOn w:val="Normal"/>
    <w:next w:val="Normal"/>
    <w:link w:val="AltKonuBalChar"/>
    <w:qFormat/>
    <w:rsid w:val="008C1DF2"/>
    <w:pPr>
      <w:spacing w:after="60"/>
      <w:jc w:val="center"/>
      <w:outlineLvl w:val="1"/>
    </w:pPr>
    <w:rPr>
      <w:rFonts w:asciiTheme="majorHAnsi" w:eastAsiaTheme="majorEastAsia" w:hAnsiTheme="majorHAnsi" w:cstheme="majorBidi"/>
    </w:rPr>
  </w:style>
  <w:style w:type="character" w:customStyle="1" w:styleId="AltKonuBalChar">
    <w:name w:val="Alt Konu Başlığı Char"/>
    <w:basedOn w:val="VarsaylanParagrafYazTipi"/>
    <w:link w:val="AltKonuBal"/>
    <w:rsid w:val="008C1DF2"/>
    <w:rPr>
      <w:rFonts w:asciiTheme="majorHAnsi" w:eastAsiaTheme="majorEastAsia" w:hAnsiTheme="majorHAnsi" w:cstheme="majorBidi"/>
      <w:sz w:val="24"/>
      <w:szCs w:val="24"/>
      <w:lang w:val="en-US" w:eastAsia="en-US"/>
    </w:rPr>
  </w:style>
  <w:style w:type="character" w:styleId="Gl">
    <w:name w:val="Strong"/>
    <w:basedOn w:val="VarsaylanParagrafYazTipi"/>
    <w:qFormat/>
    <w:rsid w:val="008C1DF2"/>
    <w:rPr>
      <w:b/>
      <w:bCs/>
    </w:rPr>
  </w:style>
  <w:style w:type="character" w:styleId="Vurgu">
    <w:name w:val="Emphasis"/>
    <w:basedOn w:val="VarsaylanParagrafYazTipi"/>
    <w:qFormat/>
    <w:rsid w:val="008C1DF2"/>
    <w:rPr>
      <w:i/>
      <w:iCs/>
    </w:rPr>
  </w:style>
  <w:style w:type="paragraph" w:styleId="NormalWeb">
    <w:name w:val="Normal (Web)"/>
    <w:basedOn w:val="Normal"/>
    <w:rsid w:val="00000665"/>
    <w:pPr>
      <w:spacing w:before="100" w:beforeAutospacing="1" w:after="100" w:afterAutospacing="1"/>
    </w:pPr>
    <w:rPr>
      <w:lang w:val="tr-TR" w:eastAsia="tr-TR"/>
    </w:rPr>
  </w:style>
  <w:style w:type="paragraph" w:customStyle="1" w:styleId="Balk11pt">
    <w:name w:val="Başlık 11 pt"/>
    <w:rsid w:val="00000665"/>
    <w:pPr>
      <w:tabs>
        <w:tab w:val="left" w:pos="566"/>
      </w:tabs>
      <w:ind w:firstLine="566"/>
      <w:jc w:val="both"/>
    </w:pPr>
    <w:rPr>
      <w:sz w:val="22"/>
      <w:u w:val="single"/>
    </w:rPr>
  </w:style>
  <w:style w:type="paragraph" w:customStyle="1" w:styleId="OrtaBalkBold">
    <w:name w:val="Orta Başlık Bold"/>
    <w:rsid w:val="00000665"/>
    <w:pPr>
      <w:tabs>
        <w:tab w:val="left" w:pos="566"/>
      </w:tabs>
      <w:jc w:val="center"/>
    </w:pPr>
    <w:rPr>
      <w:b/>
      <w:sz w:val="19"/>
    </w:rPr>
  </w:style>
  <w:style w:type="paragraph" w:customStyle="1" w:styleId="metin">
    <w:name w:val="metin"/>
    <w:basedOn w:val="Normal"/>
    <w:rsid w:val="00000665"/>
    <w:pPr>
      <w:spacing w:before="100" w:beforeAutospacing="1" w:after="100" w:afterAutospacing="1"/>
    </w:pPr>
    <w:rPr>
      <w:lang w:val="tr-TR" w:eastAsia="tr-TR"/>
    </w:rPr>
  </w:style>
</w:styles>
</file>

<file path=word/webSettings.xml><?xml version="1.0" encoding="utf-8"?>
<w:webSettings xmlns:r="http://schemas.openxmlformats.org/officeDocument/2006/relationships" xmlns:w="http://schemas.openxmlformats.org/wordprocessingml/2006/main">
  <w:divs>
    <w:div w:id="561019172">
      <w:bodyDiv w:val="1"/>
      <w:marLeft w:val="0"/>
      <w:marRight w:val="0"/>
      <w:marTop w:val="0"/>
      <w:marBottom w:val="0"/>
      <w:divBdr>
        <w:top w:val="none" w:sz="0" w:space="0" w:color="auto"/>
        <w:left w:val="none" w:sz="0" w:space="0" w:color="auto"/>
        <w:bottom w:val="none" w:sz="0" w:space="0" w:color="auto"/>
        <w:right w:val="none" w:sz="0" w:space="0" w:color="auto"/>
      </w:divBdr>
      <w:divsChild>
        <w:div w:id="1582837287">
          <w:marLeft w:val="0"/>
          <w:marRight w:val="0"/>
          <w:marTop w:val="0"/>
          <w:marBottom w:val="0"/>
          <w:divBdr>
            <w:top w:val="none" w:sz="0" w:space="0" w:color="auto"/>
            <w:left w:val="none" w:sz="0" w:space="0" w:color="auto"/>
            <w:bottom w:val="none" w:sz="0" w:space="0" w:color="auto"/>
            <w:right w:val="none" w:sz="0" w:space="0" w:color="auto"/>
          </w:divBdr>
          <w:divsChild>
            <w:div w:id="789083991">
              <w:marLeft w:val="0"/>
              <w:marRight w:val="0"/>
              <w:marTop w:val="0"/>
              <w:marBottom w:val="0"/>
              <w:divBdr>
                <w:top w:val="none" w:sz="0" w:space="0" w:color="auto"/>
                <w:left w:val="none" w:sz="0" w:space="0" w:color="auto"/>
                <w:bottom w:val="none" w:sz="0" w:space="0" w:color="auto"/>
                <w:right w:val="none" w:sz="0" w:space="0" w:color="auto"/>
              </w:divBdr>
              <w:divsChild>
                <w:div w:id="119300895">
                  <w:marLeft w:val="0"/>
                  <w:marRight w:val="0"/>
                  <w:marTop w:val="0"/>
                  <w:marBottom w:val="0"/>
                  <w:divBdr>
                    <w:top w:val="none" w:sz="0" w:space="0" w:color="auto"/>
                    <w:left w:val="none" w:sz="0" w:space="0" w:color="auto"/>
                    <w:bottom w:val="none" w:sz="0" w:space="0" w:color="auto"/>
                    <w:right w:val="none" w:sz="0" w:space="0" w:color="auto"/>
                  </w:divBdr>
                  <w:divsChild>
                    <w:div w:id="165341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12</Pages>
  <Words>4911</Words>
  <Characters>27999</Characters>
  <Application>Microsoft Office Word</Application>
  <DocSecurity>0</DocSecurity>
  <Lines>233</Lines>
  <Paragraphs>65</Paragraphs>
  <ScaleCrop>false</ScaleCrop>
  <Company/>
  <LinksUpToDate>false</LinksUpToDate>
  <CharactersWithSpaces>32845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2015-02-18T07:17:00Z</dcterms:created>
  <dcterms:modified xsi:type="dcterms:W3CDTF">2015-02-18T07:20:00Z</dcterms:modified>
</cp:coreProperties>
</file>