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789" w:type="dxa"/>
        <w:jc w:val="center"/>
        <w:tblLook w:val="01E0" w:firstRow="1" w:lastRow="1" w:firstColumn="1" w:lastColumn="1" w:noHBand="0" w:noVBand="0"/>
      </w:tblPr>
      <w:tblGrid>
        <w:gridCol w:w="2931"/>
        <w:gridCol w:w="2931"/>
        <w:gridCol w:w="2927"/>
      </w:tblGrid>
      <w:tr w:rsidR="00DF7024" w:rsidRPr="00DF7024">
        <w:trPr>
          <w:trHeight w:val="317"/>
          <w:jc w:val="center"/>
        </w:trPr>
        <w:tc>
          <w:tcPr>
            <w:tcW w:w="2931" w:type="dxa"/>
            <w:tcBorders>
              <w:top w:val="nil"/>
              <w:left w:val="nil"/>
              <w:bottom w:val="single" w:sz="4" w:space="0" w:color="660066"/>
              <w:right w:val="nil"/>
            </w:tcBorders>
            <w:vAlign w:val="center"/>
            <w:hideMark/>
          </w:tcPr>
          <w:p w:rsidR="00DF7024" w:rsidRPr="00DF7024" w:rsidRDefault="00DF7024" w:rsidP="00DF7024">
            <w:pPr>
              <w:tabs>
                <w:tab w:val="left" w:pos="567"/>
                <w:tab w:val="center" w:pos="994"/>
                <w:tab w:val="center" w:pos="3543"/>
                <w:tab w:val="right" w:pos="6520"/>
              </w:tabs>
              <w:spacing w:after="0" w:line="240" w:lineRule="exact"/>
              <w:rPr>
                <w:rFonts w:ascii="Arial" w:eastAsia="Times New Roman" w:hAnsi="Arial" w:cs="Arial"/>
                <w:b/>
                <w:sz w:val="16"/>
                <w:szCs w:val="16"/>
                <w:lang w:eastAsia="tr-TR"/>
              </w:rPr>
            </w:pPr>
            <w:r w:rsidRPr="00DF7024">
              <w:rPr>
                <w:rFonts w:ascii="Arial" w:eastAsia="Times New Roman" w:hAnsi="Arial" w:cs="Arial"/>
                <w:sz w:val="16"/>
                <w:szCs w:val="16"/>
                <w:lang w:eastAsia="tr-TR"/>
              </w:rPr>
              <w:t>4 Mayıs 2013 CUMARTESİ</w:t>
            </w:r>
          </w:p>
        </w:tc>
        <w:tc>
          <w:tcPr>
            <w:tcW w:w="2931" w:type="dxa"/>
            <w:tcBorders>
              <w:top w:val="nil"/>
              <w:left w:val="nil"/>
              <w:bottom w:val="single" w:sz="4" w:space="0" w:color="660066"/>
              <w:right w:val="nil"/>
            </w:tcBorders>
            <w:vAlign w:val="center"/>
            <w:hideMark/>
          </w:tcPr>
          <w:p w:rsidR="00DF7024" w:rsidRPr="00DF7024" w:rsidRDefault="00DF7024" w:rsidP="00DF7024">
            <w:pPr>
              <w:tabs>
                <w:tab w:val="left" w:pos="567"/>
                <w:tab w:val="center" w:pos="994"/>
                <w:tab w:val="center" w:pos="3543"/>
                <w:tab w:val="right" w:pos="6520"/>
              </w:tabs>
              <w:spacing w:after="0" w:line="240" w:lineRule="exact"/>
              <w:jc w:val="center"/>
              <w:rPr>
                <w:rFonts w:ascii="Palatino Linotype" w:eastAsia="Times New Roman" w:hAnsi="Palatino Linotype" w:cs="Times New Roman"/>
                <w:b/>
                <w:color w:val="800080"/>
                <w:sz w:val="24"/>
                <w:szCs w:val="24"/>
                <w:lang w:eastAsia="tr-TR"/>
              </w:rPr>
            </w:pPr>
            <w:r w:rsidRPr="00DF7024">
              <w:rPr>
                <w:rFonts w:ascii="Palatino Linotype" w:eastAsia="Times New Roman" w:hAnsi="Palatino Linotype" w:cs="Times New Roman"/>
                <w:b/>
                <w:color w:val="800080"/>
                <w:sz w:val="24"/>
                <w:szCs w:val="24"/>
                <w:lang w:eastAsia="tr-TR"/>
              </w:rPr>
              <w:t>Resmî Gazete</w:t>
            </w:r>
          </w:p>
        </w:tc>
        <w:tc>
          <w:tcPr>
            <w:tcW w:w="2927" w:type="dxa"/>
            <w:tcBorders>
              <w:top w:val="nil"/>
              <w:left w:val="nil"/>
              <w:bottom w:val="single" w:sz="4" w:space="0" w:color="660066"/>
              <w:right w:val="nil"/>
            </w:tcBorders>
            <w:vAlign w:val="center"/>
            <w:hideMark/>
          </w:tcPr>
          <w:p w:rsidR="00DF7024" w:rsidRPr="00DF7024" w:rsidRDefault="00DF7024" w:rsidP="00DF7024">
            <w:pPr>
              <w:spacing w:before="100" w:beforeAutospacing="1" w:after="100" w:afterAutospacing="1" w:line="240" w:lineRule="auto"/>
              <w:jc w:val="right"/>
              <w:rPr>
                <w:rFonts w:ascii="Arial" w:eastAsia="Times New Roman" w:hAnsi="Arial" w:cs="Arial"/>
                <w:b/>
                <w:sz w:val="16"/>
                <w:szCs w:val="16"/>
                <w:lang w:eastAsia="tr-TR"/>
              </w:rPr>
            </w:pPr>
            <w:r w:rsidRPr="00DF7024">
              <w:rPr>
                <w:rFonts w:ascii="Arial" w:eastAsia="Times New Roman" w:hAnsi="Arial" w:cs="Arial"/>
                <w:sz w:val="16"/>
                <w:szCs w:val="16"/>
                <w:lang w:eastAsia="tr-TR"/>
              </w:rPr>
              <w:t>Sayı : 28637</w:t>
            </w:r>
          </w:p>
        </w:tc>
      </w:tr>
      <w:tr w:rsidR="00DF7024" w:rsidRPr="00DF7024">
        <w:trPr>
          <w:trHeight w:val="480"/>
          <w:jc w:val="center"/>
        </w:trPr>
        <w:tc>
          <w:tcPr>
            <w:tcW w:w="8789" w:type="dxa"/>
            <w:gridSpan w:val="3"/>
            <w:vAlign w:val="center"/>
            <w:hideMark/>
          </w:tcPr>
          <w:p w:rsidR="00DF7024" w:rsidRPr="00DF7024" w:rsidRDefault="00DF7024" w:rsidP="00DF7024">
            <w:pPr>
              <w:spacing w:before="100" w:beforeAutospacing="1" w:after="100" w:afterAutospacing="1" w:line="240" w:lineRule="auto"/>
              <w:jc w:val="center"/>
              <w:rPr>
                <w:rFonts w:ascii="Arial" w:eastAsia="Times New Roman" w:hAnsi="Arial" w:cs="Arial"/>
                <w:b/>
                <w:color w:val="000080"/>
                <w:sz w:val="18"/>
                <w:szCs w:val="18"/>
                <w:lang w:eastAsia="tr-TR"/>
              </w:rPr>
            </w:pPr>
            <w:r w:rsidRPr="00DF7024">
              <w:rPr>
                <w:rFonts w:ascii="Arial" w:eastAsia="Times New Roman" w:hAnsi="Arial" w:cs="Arial"/>
                <w:b/>
                <w:color w:val="000080"/>
                <w:sz w:val="18"/>
                <w:szCs w:val="18"/>
                <w:lang w:eastAsia="tr-TR"/>
              </w:rPr>
              <w:t>TEBLİĞ</w:t>
            </w:r>
          </w:p>
        </w:tc>
      </w:tr>
      <w:tr w:rsidR="00DF7024" w:rsidRPr="00DF7024">
        <w:trPr>
          <w:trHeight w:val="480"/>
          <w:jc w:val="center"/>
        </w:trPr>
        <w:tc>
          <w:tcPr>
            <w:tcW w:w="8789" w:type="dxa"/>
            <w:gridSpan w:val="3"/>
            <w:vAlign w:val="center"/>
            <w:hideMark/>
          </w:tcPr>
          <w:p w:rsidR="00DF7024" w:rsidRPr="00DF7024" w:rsidRDefault="00DF7024" w:rsidP="00DF7024">
            <w:pPr>
              <w:tabs>
                <w:tab w:val="left" w:pos="566"/>
              </w:tabs>
              <w:spacing w:after="0" w:line="240" w:lineRule="exact"/>
              <w:ind w:firstLine="566"/>
              <w:rPr>
                <w:rFonts w:ascii="Times New Roman" w:eastAsia="ヒラギノ明朝 Pro W3" w:hAnsi="Times New Roman" w:cs="Times New Roman"/>
                <w:sz w:val="18"/>
                <w:szCs w:val="18"/>
                <w:u w:val="single"/>
              </w:rPr>
            </w:pPr>
            <w:r w:rsidRPr="00DF7024">
              <w:rPr>
                <w:rFonts w:ascii="Times New Roman" w:eastAsia="ヒラギノ明朝 Pro W3" w:hAnsi="Times New Roman" w:cs="Times New Roman"/>
                <w:sz w:val="18"/>
                <w:szCs w:val="18"/>
                <w:u w:val="single"/>
              </w:rPr>
              <w:t>Sosyal Güvenlik Kurumundan:</w:t>
            </w:r>
          </w:p>
          <w:p w:rsidR="00DF7024" w:rsidRPr="00DF7024" w:rsidRDefault="00DF7024" w:rsidP="00DF7024">
            <w:pPr>
              <w:spacing w:after="0" w:line="240" w:lineRule="exact"/>
              <w:jc w:val="center"/>
              <w:rPr>
                <w:rFonts w:ascii="Times New Roman" w:eastAsia="ヒラギノ明朝 Pro W3" w:hAnsi="Times New Roman" w:cs="Times New Roman"/>
                <w:b/>
                <w:sz w:val="18"/>
                <w:szCs w:val="18"/>
              </w:rPr>
            </w:pPr>
            <w:r w:rsidRPr="00DF7024">
              <w:rPr>
                <w:rFonts w:ascii="Times New Roman" w:eastAsia="ヒラギノ明朝 Pro W3" w:hAnsi="Times New Roman" w:cs="Times New Roman"/>
                <w:b/>
                <w:sz w:val="18"/>
                <w:szCs w:val="18"/>
              </w:rPr>
              <w:t>SOSYAL GÜVENLİK KURUMU SAĞLIK UYGULAMA TEBLİĞİNDE</w:t>
            </w:r>
          </w:p>
          <w:p w:rsidR="00DF7024" w:rsidRPr="00DF7024" w:rsidRDefault="00DF7024" w:rsidP="00DF7024">
            <w:pPr>
              <w:spacing w:after="0" w:line="240" w:lineRule="exact"/>
              <w:jc w:val="center"/>
              <w:rPr>
                <w:rFonts w:ascii="Times New Roman" w:eastAsia="ヒラギノ明朝 Pro W3" w:hAnsi="Times New Roman" w:cs="Times New Roman"/>
                <w:b/>
                <w:sz w:val="18"/>
                <w:szCs w:val="18"/>
              </w:rPr>
            </w:pPr>
            <w:r w:rsidRPr="00DF7024">
              <w:rPr>
                <w:rFonts w:ascii="Times New Roman" w:eastAsia="ヒラギノ明朝 Pro W3" w:hAnsi="Times New Roman" w:cs="Times New Roman"/>
                <w:b/>
                <w:sz w:val="18"/>
                <w:szCs w:val="18"/>
              </w:rPr>
              <w:t>DEĞİŞİKLİK YAPILMASINA DAİR TEBLİĞ</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bCs/>
                <w:sz w:val="18"/>
                <w:szCs w:val="18"/>
              </w:rPr>
              <w:t xml:space="preserve">MADDE 1 – </w:t>
            </w:r>
            <w:r w:rsidRPr="00DF7024">
              <w:rPr>
                <w:rFonts w:ascii="Times New Roman" w:eastAsia="ヒラギノ明朝 Pro W3" w:hAnsi="Times New Roman" w:cs="Times New Roman"/>
                <w:sz w:val="18"/>
                <w:szCs w:val="18"/>
              </w:rPr>
              <w:t>24/03/2013 tarihli ve 28597 sayılı Resmî Gazete’de yayımlanan Sosyal Güvenlik Kurumu Sağlık Uygulama Tebliğinin 1.7.1 numaralı maddesinin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Belgesi”ne istinaden sağlanacaktır.”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2 – </w:t>
            </w:r>
            <w:r w:rsidRPr="00DF7024">
              <w:rPr>
                <w:rFonts w:ascii="Times New Roman" w:eastAsia="ヒラギノ明朝 Pro W3" w:hAnsi="Times New Roman" w:cs="Times New Roman"/>
                <w:sz w:val="18"/>
                <w:szCs w:val="18"/>
              </w:rPr>
              <w:t>Aynı Tebliğin 1.9.1 numaralı maddesinin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Kurumla sözleşmeli; vakıf üniversiteleri ile özel sağlık kurum</w:t>
            </w:r>
            <w:bookmarkStart w:id="0" w:name="_GoBack"/>
            <w:bookmarkEnd w:id="0"/>
            <w:r w:rsidRPr="00DF7024">
              <w:rPr>
                <w:rFonts w:ascii="Times New Roman" w:eastAsia="ヒラギノ明朝 Pro W3" w:hAnsi="Times New Roman" w:cs="Times New Roman"/>
                <w:sz w:val="18"/>
                <w:szCs w:val="18"/>
              </w:rPr>
              <w:t xml:space="preserve">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3 – </w:t>
            </w:r>
            <w:r w:rsidRPr="00DF7024">
              <w:rPr>
                <w:rFonts w:ascii="Times New Roman" w:eastAsia="ヒラギノ明朝 Pro W3" w:hAnsi="Times New Roman" w:cs="Times New Roman"/>
                <w:sz w:val="18"/>
                <w:szCs w:val="18"/>
              </w:rPr>
              <w:t>Aynı Tebliğin 2.4.4.G-2 numaralı maddesinin birinci fıkrasının ilk cümlesi aşağıdaki şekilde değiştirilmiştir.</w:t>
            </w:r>
          </w:p>
          <w:p w:rsidR="00DF7024" w:rsidRPr="00DF7024" w:rsidRDefault="00DF7024" w:rsidP="00DF7024">
            <w:pPr>
              <w:tabs>
                <w:tab w:val="left" w:pos="566"/>
              </w:tabs>
              <w:spacing w:after="0" w:line="240" w:lineRule="exact"/>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4 –</w:t>
            </w:r>
            <w:r w:rsidRPr="00DF7024">
              <w:rPr>
                <w:rFonts w:ascii="Times New Roman" w:eastAsia="ヒラギノ明朝 Pro W3" w:hAnsi="Times New Roman" w:cs="Times New Roman"/>
                <w:sz w:val="18"/>
                <w:szCs w:val="18"/>
              </w:rPr>
              <w:t xml:space="preserve"> Aynı Tebliğin 2.5.3.C-2 numaralı maddesinin ikinci fıkrasında yer alan “(VI) numaralı” ibaresi madde metninden çıkartılmıştır.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5 – </w:t>
            </w:r>
            <w:r w:rsidRPr="00DF7024">
              <w:rPr>
                <w:rFonts w:ascii="Times New Roman" w:eastAsia="ヒラギノ明朝 Pro W3" w:hAnsi="Times New Roman" w:cs="Times New Roman"/>
                <w:sz w:val="18"/>
                <w:szCs w:val="18"/>
              </w:rPr>
              <w:t>Aynı Tebliğin 3.1.1 numaralı maddesinde aşağıdaki düzenlemeler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İkinci fıkrasında yer alan “Ancak, Sağlık Bakanlığı’nın tıbbi cihazlarla ile ilgili” ibaresi, “Ancak, Sağlık Bakanlığı’nın tıbbi cihazlar ile ilgili” şeklinde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Üçüncü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Yedinci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“(7) 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On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“(11) Bedeli Kurumca karşılanmayan işlemlere ait tıbbi malzeme bedelleri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6 – </w:t>
            </w:r>
            <w:r w:rsidRPr="00DF7024">
              <w:rPr>
                <w:rFonts w:ascii="Times New Roman" w:eastAsia="ヒラギノ明朝 Pro W3" w:hAnsi="Times New Roman" w:cs="Times New Roman"/>
                <w:sz w:val="18"/>
                <w:szCs w:val="18"/>
              </w:rPr>
              <w:t>Aynı Tebliğin 3.1.2 numaralı maddesinde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On ikinci fıkrasının “b” bendinde yer alan “Miatlı tıbbi malzemenin” ibaresi “SUT eki Ek-3/C-2 ve Ek-3/C-3 listelerinde yer alan miatlı tıbbi malzemelerin” şeklinde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On ikinci fıkrasının “c” bendi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On ikinci fıkrasına aşağıdaki düzenleme “ç” bendi olarak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“ç) SUT eki EK-3/C-2 Listesinde yer alan protez/ortezlerin yenilenme süresi içerisinde, protez/ortezi oluşturan ara ürünlerden herhangi birisinin yenilenerek mevcut protez/ortezin kullanılabileceğinin sağlık raporu ile </w:t>
            </w:r>
            <w:r w:rsidRPr="00DF7024">
              <w:rPr>
                <w:rFonts w:ascii="Times New Roman" w:eastAsia="ヒラギノ明朝 Pro W3" w:hAnsi="Times New Roman" w:cs="Times New Roman"/>
                <w:sz w:val="18"/>
                <w:szCs w:val="18"/>
              </w:rPr>
              <w:lastRenderedPageBreak/>
              <w:t>belgelendirilmesi halinde, bakım onarımı gereken parçaların bedelleri, SUT hükümleri doğrultusunda Kurum tarafından karşılanacaktır.”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On sekizinci fıkrasına son cümle olarak aşağıdaki cümle eklenmiştir.</w:t>
            </w:r>
          </w:p>
          <w:p w:rsidR="00DF7024" w:rsidRPr="00DF7024" w:rsidRDefault="00DF7024" w:rsidP="00DF7024">
            <w:pPr>
              <w:tabs>
                <w:tab w:val="left" w:pos="566"/>
              </w:tabs>
              <w:spacing w:after="0" w:line="240" w:lineRule="exact"/>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7 –</w:t>
            </w:r>
            <w:r w:rsidRPr="00DF7024">
              <w:rPr>
                <w:rFonts w:ascii="Times New Roman" w:eastAsia="ヒラギノ明朝 Pro W3" w:hAnsi="Times New Roman" w:cs="Times New Roman"/>
                <w:sz w:val="18"/>
                <w:szCs w:val="18"/>
              </w:rPr>
              <w:t xml:space="preserve"> Aynı Tebliğin 3.3.9 numaralı maddesinin (2) nci fıkrasının “d” bendi yürürlükten kaldırılmıştır.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8 –</w:t>
            </w:r>
            <w:r w:rsidRPr="00DF7024">
              <w:rPr>
                <w:rFonts w:ascii="Times New Roman" w:eastAsia="ヒラギノ明朝 Pro W3" w:hAnsi="Times New Roman" w:cs="Times New Roman"/>
                <w:sz w:val="18"/>
                <w:szCs w:val="18"/>
              </w:rPr>
              <w:t xml:space="preserve"> Aynı Tebliğin 3.3.12 numaralı maddesi aşağıdaki şekilde yeniden düzenlenmiştir.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b/>
                <w:sz w:val="18"/>
                <w:szCs w:val="18"/>
              </w:rPr>
            </w:pPr>
            <w:r w:rsidRPr="00DF7024">
              <w:rPr>
                <w:rFonts w:ascii="Times New Roman" w:eastAsia="ヒラギノ明朝 Pro W3" w:hAnsi="Times New Roman" w:cs="Times New Roman"/>
                <w:b/>
                <w:sz w:val="18"/>
                <w:szCs w:val="18"/>
              </w:rPr>
              <w:t>“3.3.12–Ayakta ağız ve diş tedavilerinde tıbbi malzeme temin/ödeme usul ve esasları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Lokal anestezi altında, cerrahi tedavilerde kullanılan, greft, membran, kanama durdurucu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Bu kapsamdaki tıbbi malzemelerin bedelleri SUT’un 3.2.1.A-1 ve 3.2.1.A-2 maddelerinde belirtilen hükümler doğrultusunda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Protez yapıştırıcıları, protez temizleme tabletleri, özel içerikli diş macunları vb. malzemelerin bedeli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9 –</w:t>
            </w:r>
            <w:r w:rsidRPr="00DF7024">
              <w:rPr>
                <w:rFonts w:ascii="Times New Roman" w:eastAsia="ヒラギノ明朝 Pro W3" w:hAnsi="Times New Roman" w:cs="Times New Roman"/>
                <w:sz w:val="18"/>
                <w:szCs w:val="18"/>
              </w:rPr>
              <w:t xml:space="preserve"> Aynı Tebliğ’in 4.1.1 numaralı maddesinin üçüncü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10 – </w:t>
            </w:r>
            <w:r w:rsidRPr="00DF7024">
              <w:rPr>
                <w:rFonts w:ascii="Times New Roman" w:eastAsia="ヒラギノ明朝 Pro W3" w:hAnsi="Times New Roman" w:cs="Times New Roman"/>
                <w:sz w:val="18"/>
                <w:szCs w:val="18"/>
              </w:rPr>
              <w:t>Aynı Tebliğ'in 4.1.4 numaralı maddesinin dördüncü ve beşinci fıkraları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Bir ilacın ruhsatlı endikasyonlarıve prospektüs dozu dışında kullanımı ancak Sağlık Bakanlığınca verilen endikasyon dışı ilaç kullanım onayı ile mümkündür.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Bu konuda Sağlık Bakanlığı tarafından yayımlanan “Endikasyon Dışı İlaç Kullanımı Kılavuzu”nda belirtilen esaslara da uyulacak olup, kılavuzda tanımlanmamış durumlar için Sağlık Bakanlığı endikasyon dışı ilaç kullanımı onayı aranır.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Sağlık Bakanlığı tarafından verilen endikasyon dışı ilaç kullanım onaylarında, bu onay için süre belirtilmemiş ise rapor yenilenmesinde yeni onay aranmaz.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Sağlık Bakanlığınca verilen endikasyon dışı ilaç kullanım onayına dayanılarak ödemesi yapılacak ilaçların rapor ve reçeteleme koşulları için Bakanlıkça verilmiş onay kabul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Endikasyon dışı ilaç kullanım onayı aranacak ilaçlar için reçeteler ve sağlık raporları ilgili uzman hekim/hekimlerce düzenlenir.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Hastanın tedavisinde ilk defa reçete edilecek ilaçlar (raporlu olsa dahi) kullanım dozuna göre, bir ayı geçmeyecek sürelerde 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 Ancak ilaçların topikal formları, serumlar, enteral ve parenteral beslenme ürünleri, tıbbi amaçlı mamalar, diyaliz solüsyonları için bu fıkra ilk seferde en fazla bir aylık doz olarak uygulanır. Bu maddenin birinci fıkrası için bu fıkra hükümleri uygulanmaz.”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11 –</w:t>
            </w:r>
            <w:r w:rsidRPr="00DF7024">
              <w:rPr>
                <w:rFonts w:ascii="Times New Roman" w:eastAsia="ヒラギノ明朝 Pro W3" w:hAnsi="Times New Roman" w:cs="Times New Roman"/>
                <w:sz w:val="18"/>
                <w:szCs w:val="18"/>
              </w:rPr>
              <w:t xml:space="preserve"> Aynı Tebliğ'in 4.2.9.C-1 numaralı maddesinin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12 –</w:t>
            </w:r>
            <w:r w:rsidRPr="00DF7024">
              <w:rPr>
                <w:rFonts w:ascii="Times New Roman" w:eastAsia="ヒラギノ明朝 Pro W3" w:hAnsi="Times New Roman" w:cs="Times New Roman"/>
                <w:sz w:val="18"/>
                <w:szCs w:val="18"/>
              </w:rPr>
              <w:t xml:space="preserve"> Aynı Tebliğ'in 4.2.14.C numaralı maddesinin üçüncü fıkrasında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(f) bendi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“f) </w:t>
            </w:r>
            <w:r w:rsidRPr="00DF7024">
              <w:rPr>
                <w:rFonts w:ascii="Times New Roman" w:eastAsia="ヒラギノ明朝 Pro W3" w:hAnsi="Times New Roman" w:cs="Times New Roman"/>
                <w:b/>
                <w:sz w:val="18"/>
                <w:szCs w:val="18"/>
              </w:rPr>
              <w:t>Rituksimab;</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1) Tıbbi onkoloji veya hematoloji uzman hekimlerinin bulunduğu hastanelerde bu uzman hekimlerden en az </w:t>
            </w:r>
            <w:r w:rsidRPr="00DF7024">
              <w:rPr>
                <w:rFonts w:ascii="Times New Roman" w:eastAsia="ヒラギノ明朝 Pro W3" w:hAnsi="Times New Roman" w:cs="Times New Roman"/>
                <w:sz w:val="18"/>
                <w:szCs w:val="18"/>
              </w:rPr>
              <w:lastRenderedPageBreak/>
              <w:t>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folikülerlenfoma ve mantle hücreli lenfomada maksimum 8 küre kadar kullanılabilir.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Kronik Lenfositik Lösemi (KLL);</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Performans durumu iyi olan (ECOG 0-1), 17 p delesyonu bulunmayan KLL hastalarının birinci basamak tedavisinde fludarabin ve siklofosfamid ile kombine olarak kullanılabilir.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Relaps/Refrakter (Nükseden/Dirençli) 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(i) bendine aşağıdaki dördüncü madde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Sunitinib ve everolimus pankreatik nöroendokrin tümör tedavisinde ardışık ya da kombine olarak kullanılamaz.”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(p) bendi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“p) Everolimus;</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Cerrahi ya da diğer lokal tedavi yaklaşımlarına uygun bulunmayan, son 12 ay içinde RECIST kriterlerine göre progresyon gösteren, metastatik ya da lokal ileri evrede olan, iyi differansiye (Ki-67 değeri 2 veya altında olan) 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Sunitinib ve everolimus pankreatik nöroendokrin tümör tedavisinde ardışık ya da kombine olarak kullanılamaz.”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13 –</w:t>
            </w:r>
            <w:r w:rsidRPr="00DF7024">
              <w:rPr>
                <w:rFonts w:ascii="Times New Roman" w:eastAsia="ヒラギノ明朝 Pro W3" w:hAnsi="Times New Roman" w:cs="Times New Roman"/>
                <w:sz w:val="18"/>
                <w:szCs w:val="18"/>
              </w:rPr>
              <w:t xml:space="preserve"> Aynı Tebliğ'in 4.2.15 numaralı maddesinde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Madde başlığı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“4.2.15 – Klopidogrel, silostazol, ivabradin, prasugrel ve dabigatran kullanım ilkeleri”</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4.2.15.A numaralı maddesinin üçüncü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Kalp kapak biyoprotezi bulunanlarda, 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Maddeye aşağıdaki 4.2.15.Ç ve 4.2.15.D maddeleri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“4.2.15.Ç–Prasugrel;</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Stent trombozunun geliştiği tarihten itibaren en fazla 1 yıl süreyle kullanılır.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4.2.15.D–Dabigatran;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(1) Prospektüsünde belirtilen risk faktörlerinden bir ya da daha fazlasına sahip, non-valvuleratriyal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w:t>
            </w:r>
            <w:r w:rsidRPr="00DF7024">
              <w:rPr>
                <w:rFonts w:ascii="Times New Roman" w:eastAsia="ヒラギノ明朝 Pro W3" w:hAnsi="Times New Roman" w:cs="Times New Roman"/>
                <w:sz w:val="18"/>
                <w:szCs w:val="18"/>
              </w:rPr>
              <w:lastRenderedPageBreak/>
              <w:t>durumlarda varfarin kesilerek dabigatran tedavisine geçilebilir.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Varfarin tedavisi altında iken serebrovasküler olay geçirenlerde doğrudan dabigatran tedavisine geçilebilir.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Dabigatran; yukarıdaki durumlarda bu durumun belirtildiği tedavisine geçişin gerekçesinin belirtildiği ve en az bir kardiyoloji uzman hekiminin yer aldığı, 1 yıl süreli sağlık kurulu raporuna dayanılarak yine bu hekimlerce ya da iç hastalıkları uzman hekimlerince reçete edilmesi halinde bedeli ödenir.”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14 – </w:t>
            </w:r>
            <w:r w:rsidRPr="00DF7024">
              <w:rPr>
                <w:rFonts w:ascii="Times New Roman" w:eastAsia="ヒラギノ明朝 Pro W3" w:hAnsi="Times New Roman" w:cs="Times New Roman"/>
                <w:sz w:val="18"/>
                <w:szCs w:val="18"/>
              </w:rPr>
              <w:t>Aynı Tebliğ'in 4.2.17.D numaralı maddesinin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65 yaş üstü hastalardan; T skoru -3,5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15 –</w:t>
            </w:r>
            <w:r w:rsidRPr="00DF7024">
              <w:rPr>
                <w:rFonts w:ascii="Times New Roman" w:eastAsia="ヒラギノ明朝 Pro W3" w:hAnsi="Times New Roman" w:cs="Times New Roman"/>
                <w:sz w:val="18"/>
                <w:szCs w:val="18"/>
              </w:rPr>
              <w:t xml:space="preserve"> Aynı Tebliğ'in 4.2.28 numaralı maddesinde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4.2.28.A numaralı maddesinin birinci fıkrasının (ç) bendi ve dördüncü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LDL düzeyinin 70 mg/dL’nin üstünde olduğu durumlarda; diabetes mellitus, akut koroner sendrom, geçirilmiş Mİ, geçirilmiş inme, koroner arter hastalığı, periferik arter hastalığı, abdominal aort anevrizması veya karotid arter hastalığı olanlarda.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Rosuvastatinin 20 mg ve üzeri etken madde içeren dozları, atorvastatin, simvastatin ve pravastatinin 40 mg ve üzeri etken madde içeren dozları, fluvastatinin 80mg ve üzeri etken madde içeren dozları (kombinasyonları dahil) kardiyoloji, kalp ve damar cerrahisi, endokrinoloji uzman hekimlerince düzenlenecek uzman hekim raporuna dayanılarak bu hekimlerce reçete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4.2.28.B numaralı maddesinin birinci fıkrasında yer alan “iç hastalıkları” ibaresinden sonra gelmek üzere “, nöroloji” ibaresi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16 –</w:t>
            </w:r>
            <w:r w:rsidRPr="00DF7024">
              <w:rPr>
                <w:rFonts w:ascii="Times New Roman" w:eastAsia="ヒラギノ明朝 Pro W3" w:hAnsi="Times New Roman" w:cs="Times New Roman"/>
                <w:sz w:val="18"/>
                <w:szCs w:val="18"/>
              </w:rPr>
              <w:t xml:space="preserve"> Aynı Tebliğin 4.2.32 numaralı maddesinin dördüncü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Gadobutrol;</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Tüm vücut MR anjiografi görüntülemesinde,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65 yaş ve üzeri tüm hastalarda tüm prospektüsendikasyonlarında,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Böbrek yetmezliği olan hastalarda tüm prospektüs endikasyonlarında,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Diğer hastalarda ise yalnızca karaciğer ve böbrek manyetik rezonans görüntülemesinde,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kullanılır.”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17 – </w:t>
            </w:r>
            <w:r w:rsidRPr="00DF7024">
              <w:rPr>
                <w:rFonts w:ascii="Times New Roman" w:eastAsia="ヒラギノ明朝 Pro W3" w:hAnsi="Times New Roman" w:cs="Times New Roman"/>
                <w:sz w:val="18"/>
                <w:szCs w:val="18"/>
              </w:rPr>
              <w:t>Aynı Tebliğ'in 4.2.33 numaralı maddesi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b/>
                <w:sz w:val="18"/>
                <w:szCs w:val="18"/>
              </w:rPr>
            </w:pPr>
            <w:r w:rsidRPr="00DF7024">
              <w:rPr>
                <w:rFonts w:ascii="Times New Roman" w:eastAsia="ヒラギノ明朝 Pro W3" w:hAnsi="Times New Roman" w:cs="Times New Roman"/>
                <w:b/>
                <w:sz w:val="18"/>
                <w:szCs w:val="18"/>
              </w:rPr>
              <w:t>“4.2.33 – Göz hastalıklarında ilaç kullanım ilkeleri</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b/>
                <w:sz w:val="18"/>
                <w:szCs w:val="18"/>
              </w:rPr>
            </w:pPr>
            <w:r w:rsidRPr="00DF7024">
              <w:rPr>
                <w:rFonts w:ascii="Times New Roman" w:eastAsia="ヒラギノ明朝 Pro W3" w:hAnsi="Times New Roman" w:cs="Times New Roman"/>
                <w:b/>
                <w:sz w:val="18"/>
                <w:szCs w:val="18"/>
              </w:rPr>
              <w:t>4.2.33.A – Yaş tip yaşa bağlı makula dejenerasyonu ve diyabetik maküler ödem (DMÖ)’den kaynaklanan görme bozukluğu tedavisinde kullanılan ilaçların kullanım ilkeleri</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Pegaptanib sodyum, ranibizumab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Bu grup ilaçlar ardışık ya da kombine olarak kullanılamayacaktır.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Bu grup ilaçlar yalnızca ayakta tedavi kapsamında ödenecektir.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b/>
                <w:sz w:val="18"/>
                <w:szCs w:val="18"/>
              </w:rPr>
            </w:pPr>
            <w:r w:rsidRPr="00DF7024">
              <w:rPr>
                <w:rFonts w:ascii="Times New Roman" w:eastAsia="ヒラギノ明朝 Pro W3" w:hAnsi="Times New Roman" w:cs="Times New Roman"/>
                <w:b/>
                <w:sz w:val="18"/>
                <w:szCs w:val="18"/>
              </w:rPr>
              <w:t>4.2.33.B – Retina ven tıkanıklığında ilaç kullanım ilkeleri</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Ranibizumab deksametazon intravitreal implant kullanımı uygun olmayan veya yanıt alınamayan hastalarda kullanılabilir. Ranibizumab; intravitreal implant kullanılamama gerekçesi ile birlikte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Deksametazon intravitreal implant; her bir göz için yılda maksimum 2, ranibizumab; her bir göz için ömür boyu maksimum 7 kutu ilaç bedeli ödenir.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(4) Üçüncü basamak sağlık kurumlarında en az üç göz hastalıkları uzmanı tarafından düzenlenen sağlık kurulu </w:t>
            </w:r>
            <w:r w:rsidRPr="00DF7024">
              <w:rPr>
                <w:rFonts w:ascii="Times New Roman" w:eastAsia="ヒラギノ明朝 Pro W3" w:hAnsi="Times New Roman" w:cs="Times New Roman"/>
                <w:sz w:val="18"/>
                <w:szCs w:val="18"/>
              </w:rPr>
              <w:lastRenderedPageBreak/>
              <w:t>raporuna dayanılarak göz hastalıkları uzmanlarınca reçetelenir.”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18 – </w:t>
            </w:r>
            <w:r w:rsidRPr="00DF7024">
              <w:rPr>
                <w:rFonts w:ascii="Times New Roman" w:eastAsia="ヒラギノ明朝 Pro W3" w:hAnsi="Times New Roman" w:cs="Times New Roman"/>
                <w:sz w:val="18"/>
                <w:szCs w:val="18"/>
              </w:rPr>
              <w:t>Aynı Tebliğ'in 4.2.35 numaralı maddesinde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Madde başlığı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b/>
                <w:sz w:val="18"/>
                <w:szCs w:val="18"/>
              </w:rPr>
            </w:pPr>
            <w:r w:rsidRPr="00DF7024">
              <w:rPr>
                <w:rFonts w:ascii="Times New Roman" w:eastAsia="ヒラギノ明朝 Pro W3" w:hAnsi="Times New Roman" w:cs="Times New Roman"/>
                <w:b/>
                <w:sz w:val="18"/>
                <w:szCs w:val="18"/>
              </w:rPr>
              <w:t>“4.2.35 – Nöropatik ağrı ve fibromiyaljide ilaç kullanım ilkeleri"</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4.2.35 numaralı maddesinin birinci fıkrasında yer alan “romatoloji” ibaresinden sonra gelmek üzere “, ortopedi” ibaresi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4.2.35 numaralı maddesinin ikinci fıkrasında yer alan “nefroloji” ibaresinden sonra gelmek üzere “, ortopedi” ibaresi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4.2.35 numaralı maddesinin dördüncü fıkrasında yer alan “(kombinasyonları dahil);” ibaresinden sonra gelmek üzere “diyabetik nöropatik ağrı ve” ibaresi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Maddeye aşağıdaki beşinci fıkra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Duloksetin; fibromiyalji ve kronik kas-iskelet ağrısı tedavisinde romatoloji, ortopedi, fizik tedavi ve rehabilitasyon ve algoloji uzmanları tarafından veya bu hekimlerden birinin düzenlediği uzman hekim raporuna dayanılarak tüm hekimlerce reçete edilebilir.”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19 – </w:t>
            </w:r>
            <w:r w:rsidRPr="00DF7024">
              <w:rPr>
                <w:rFonts w:ascii="Times New Roman" w:eastAsia="ヒラギノ明朝 Pro W3" w:hAnsi="Times New Roman" w:cs="Times New Roman"/>
                <w:sz w:val="18"/>
                <w:szCs w:val="18"/>
              </w:rPr>
              <w:t>Aynı Tebliğin 5.2.3 numaralı maddesinin ikinci fıkrasının “c” bendi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İş kazası veya trafik kazası nedeniyle Kurumumuzca karşılanacak görmeye yardımcı tıbbi malzemeler için diğer reçetelerden ayrı, her hasta için ayrı ayrı olmak üzere fatura düzenlenecektir.”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20 –</w:t>
            </w:r>
            <w:r w:rsidRPr="00DF7024">
              <w:rPr>
                <w:rFonts w:ascii="Times New Roman" w:eastAsia="ヒラギノ明朝 Pro W3" w:hAnsi="Times New Roman" w:cs="Times New Roman"/>
                <w:sz w:val="18"/>
                <w:szCs w:val="18"/>
              </w:rPr>
              <w:t xml:space="preserve"> Aynı Tebliğin 5.3.4 numaralı maddesinde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Birinci fıkrasına aşağıdaki düzenleme “e” bendi olarak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Varsa özürlü sağlık kurulu raporu aslının veya onaylı fotokopisinin,”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İkinci fıkrada yer alan “Yatarak tedavilerde” ibaresi “Yatarak tedavilerde ve bu Tebliğin 3.3.12 numaralı maddesi kapsamındaki tedavilerde” şeklinde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Üçüncü fıkrada yer alan “tıbbi malzeme için” ibaresi “sürekli kullanılan tıbbi malzemelere ilişkin” şeklinde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Aşağıdaki düzenleme dördüncü fıkra olarak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21 –</w:t>
            </w:r>
            <w:r w:rsidRPr="00DF7024">
              <w:rPr>
                <w:rFonts w:ascii="Times New Roman" w:eastAsia="ヒラギノ明朝 Pro W3" w:hAnsi="Times New Roman" w:cs="Times New Roman"/>
                <w:sz w:val="18"/>
                <w:szCs w:val="18"/>
              </w:rPr>
              <w:t xml:space="preserve"> Aynı Tebliğin 6.5 numaralı maddesinin birinci fıkrasının (ç) bendi “3.1.3 (1) fıkrasının (i) bendinde belirtilen tıbbi malzemelere ait fiyatlar 1/7/2013 tarihinde,” şeklinde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22 –</w:t>
            </w:r>
            <w:r w:rsidRPr="00DF7024">
              <w:rPr>
                <w:rFonts w:ascii="Times New Roman" w:eastAsia="ヒラギノ明朝 Pro W3" w:hAnsi="Times New Roman" w:cs="Times New Roman"/>
                <w:sz w:val="18"/>
                <w:szCs w:val="18"/>
              </w:rPr>
              <w:t xml:space="preserve"> Aynı Tebliğ eki “Hastaya Sunulmuş Olan Hizmetleri ve İlave Ücreti Gösterir Belge” de (EK-1/B) bu Tebliğ eki (1) numaralı listede yer aldığı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23 – </w:t>
            </w:r>
            <w:r w:rsidRPr="00DF7024">
              <w:rPr>
                <w:rFonts w:ascii="Times New Roman" w:eastAsia="ヒラギノ明朝 Pro W3" w:hAnsi="Times New Roman" w:cs="Times New Roman"/>
                <w:sz w:val="18"/>
                <w:szCs w:val="18"/>
              </w:rPr>
              <w:t>Aynı Tebliğ eki “Tanıya Dayalı İşlem Puan Listesi”nde (EK-2/C) yapılan değişiklikler bu Tebliğ eki (2) numaralı listede belirtilmiştir.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24 –</w:t>
            </w:r>
            <w:r w:rsidRPr="00DF7024">
              <w:rPr>
                <w:rFonts w:ascii="Times New Roman" w:eastAsia="ヒラギノ明朝 Pro W3" w:hAnsi="Times New Roman" w:cs="Times New Roman"/>
                <w:sz w:val="18"/>
                <w:szCs w:val="18"/>
              </w:rPr>
              <w:t xml:space="preserve"> Aynı Tebliğ eki “BİRDEN FAZLA BRANŞTA KULLANILAN TIBBİ MALZEMELER” (EK-3/A)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Listeye eklenen tıbbi malzemeler, “303.470” SUT kodlu “ENDOSKOPİK SUCTION&amp;İRRİGASYON, 10 MM” adlı tıbbi malzemeden sonra gelmek üzere bu Tebliğ eki (3) numaralı listede belirtilmiştir.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“380.010” SUT kodlu ve “HYDROCOLLOID İÇERİKLİ YARA ÖRTÜSÜ KÜÇÜK” adlı malzemenin altındaki satırda yer alan ödeme kriterleri ve/veya kurallarına ikinci, üçüncü ve dördüncü fıkra aşağıdaki şekilde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Enfekte yaraları olan ve/veya grade 4 iskemik arter hastalığı tanısı konulan hastalarda kullanılması halinde bedeli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Kapasite tamamlanmadan önce (hidrokolloid baloncuğu kenara ulaşmadan önce) ve 2-7 gün içinde değiştirilmelidir.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100 cm2’ ye kadar olanlar küçük yara örtüsü olarak kabul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“380.011” SUT kodlu ve “HYDROCOLLOID İÇERİKLİ YARA ÖRTÜSÜ ORTA” adlı malzemenin altındaki satırda yer alan ödeme kriterleri ve/veya kurallarına ikinci, üçüncü ve dördüncü fıkra aşağıdaki şekilde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Enfekte yaraları olan ve/veya grade 4 iskemik arter hastalığı tanısı konulan hastalarda kullanılması halinde bedeli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Kapasite tamamlanmadan önce (hidrokolloid baloncuğu kenara ulaşmadan önce) ve/veya 2-7 gün içinde değiştirilmelidir.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100-225 cm2’ ye kadar olanlar orta yara örtüsü olarak kabul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“380.012” SUT kodlu ve “HYDROCOLLOID İÇERİKLİ YARA ÖRTÜSÜ BÜYÜK” adlı malzemenin altındaki satırda yer alan ödeme kriterleri ve/veya kurallarına ikinci, üçüncü ve dördüncü fıkra aşağıdaki şekilde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lastRenderedPageBreak/>
              <w:t>“(2) Enfekte yaraları olan ve/veya grade 4 iskemik arter hastalığı tanısı konulan hastalarda kullanılması halinde Kurumca bedeli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Kapasite tamamlanmadan önce (hidrokolloid baloncuğu kenara ulaşmadan önce) ve/veya 2-7 gün içinde değiştirilmelidir.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225 cm2’ nin üzerinde olanlar büyük yara örtüsü olarak kabul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“380.020” SUT kodlu ve “KÖPÜKLÜ VEYA FİBER İÇERİKLİ YARA ÖRTÜSÜ KÜÇÜK” adlı malzemenin altındaki satırda yer alan ödeme kriterleri ve/veya kurallarına ikinci, üçüncü ve dördüncü fıkra aşağıdaki şekilde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Kuru yaralar ve/veya enfekte yaralar ve/veya grade 4 iskemik arter hastalığı tanısı konulan hastalarda kullanılması halinde bedeli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Kapasite tamamlanmadan önce (leke kenara ulaşmadan önce) ve/veya 2-7 gün içinde değiştirilmelidir.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100 cm2’ ye kadar olanlar küçük yara örtüsü olarak kabul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“380.021” SUT kodlu ve “KÖPÜKLÜ VEYA FİBER İÇERİKLİ YARA ÖRTÜSÜ ORTA” adlı malzemenin altındaki satırda yer alan ödeme kriterleri ve/veya kurallarına ikinci, üçüncü ve dördüncü fıkra aşağıdaki şekilde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Kuru yaralar ve/veya enfekte yaralar ve/veya grade 4 iskemik arter hastalığı tanısı konulan hastalarda kullanılması halinde Kurumca bedeli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Kapasite tamamlanmadan önce (leke kenara ulaşmadan önce) ve/veya 2-7 gün içinde değiştirilmelidir.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100-225 cm2’ ye kadar olanlar orta yara örtüsü olarak kabul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f) “380.022” SUT kodlu ve “KÖPÜKLÜ VEYA FİBER İÇERİKLİ YARA ÖRTÜSÜ BÜYÜK” adlı malzemenin altındaki satırda yer alan ödeme kriterleri ve/veya kurallarına ikinci, üçüncü ve dördüncü fıkra aşağıdaki şekilde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Kuru yaralar ve/veya enfekte yaralar ve/veya grade 4 iskemik arter hastalığı tanısı konulan hastalarda kullanılması halinde Kurumca bedeli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Kapasite tamamlanmadan önce (leke kenara ulaşmadan önce) ve/veya 2-7 gün içinde değiştirilmelidir.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225 cm2’ nin üzerinde olanlar büyük yara örtüsü olarak kabul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25 –</w:t>
            </w:r>
            <w:r w:rsidRPr="00DF7024">
              <w:rPr>
                <w:rFonts w:ascii="Times New Roman" w:eastAsia="ヒラギノ明朝 Pro W3" w:hAnsi="Times New Roman" w:cs="Times New Roman"/>
                <w:sz w:val="18"/>
                <w:szCs w:val="18"/>
              </w:rPr>
              <w:t xml:space="preserve"> Aynı Tebliğ eki “TIBBİ UYGUNLUK ARANACAK TIBBİ MALZEMELER” (EK-3/C1) listesinde yer alan bazı SUT kodlarının karşılarındaki tıbbi malzeme alan tanımlarında yapılan değişiklikler (4) numaralı listede belirtilmiştir.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26 –</w:t>
            </w:r>
            <w:r w:rsidRPr="00DF7024">
              <w:rPr>
                <w:rFonts w:ascii="Times New Roman" w:eastAsia="ヒラギノ明朝 Pro W3" w:hAnsi="Times New Roman" w:cs="Times New Roman"/>
                <w:sz w:val="18"/>
                <w:szCs w:val="18"/>
              </w:rPr>
              <w:t xml:space="preserve"> Aynı Tebliğ eki “EKSTERNAL ALT VE ÜST EKSTREMİTE/GÖVDE PROTEZ ORTEZLER” (EK-3/C2)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Listede yer alan “ALT EKSTREMİTE ORTEZLERİ” başlığının karşısındaki “H” ibaresi kaldırılmıştır.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Listede yer alan “DİZ EKLEMİ MİKRO İŞLEMCİ KONTROLLÜ ALT EKSTERMİTE PROTEZLERİ” başlığının altındaki satırda yer alan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Aşağıdaki hallerde bedeli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Hastanın 65 yaşının üstünde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Soketin uygulanmasına engel olabilecek güdük bölgesinde komplike yara, tedaviye dirençli ağrı olması gibi durumlarda,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Protezin ağırlığının hasta tarafından tolere edilememesi,</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Hastanın fonksiyonel seviyesinin K0-K1-K2-K3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Hastanın protez diz ekleminin salınım ve duruş faz özelliklerini kontrol edememesi,</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Hastanın ambulasyonunu engelleyen denge bozukluğu veya ataksisinin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f) Hastanın ampüte ekstremitesinde 20 derecenin üzerinde kalça fleksiyon kontraktörünün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g) Hastanın diğer ekstremitesinde yürümeyi bozan veya engelleyen deformitenin bulunması,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ğ) Hastanın protezin işleyişini ve kullanımını anlamaktaki bilişsel yetilerinde kısıtlılık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h) Hastanın 125 kg üzerinde ve 48 kg altında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ı) Bilateral amputasyonlu hastalarda, karşı taraf extremitenin diz dezartikülasyonu ve üzeri seviyede amputasyon olması veya dizaltı amputasyonu olup da protez uygulamaya uygun olmayan güdüğe sahip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i) Periferik vasküler hastalık nedeni ile ampüte olan hastalarda,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j) İlk kez protez alacak hastalarda,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k) Hastanın mevcut fonksiyonel düzeyini sürdürmesini engelleyecek kas iskelet sistemi hastalığı, nörolojik/nöromusküler hastalık (ALS, inme, beyin hasarı, serebral palsi, Parkinson, Alzheimer, MS, Müskülerdistrofi,vb.), kardiyovasküler/pulmoner (KAH, KOAH, vb.) hastalığı, organ yetmezliği vb. kronik hastalıklarının bulunması.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Birinci fıkrada sayılan kriterleri taşımadığının sağlık kurulu raporu ile belirtilmesi durumunda bedeli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3) Hastanın günlük yaşamında ve çalışma hayatında aktif durumda (iş yaşantısı, mesleki gereklilik, öğrencilik, farklı zemin, rampa veya sürekli merdiven kullanma gibi) olduğunun, mevcut protezi ile yardım almaksızın (yürüme </w:t>
            </w:r>
            <w:r w:rsidRPr="00DF7024">
              <w:rPr>
                <w:rFonts w:ascii="Times New Roman" w:eastAsia="ヒラギノ明朝 Pro W3" w:hAnsi="Times New Roman" w:cs="Times New Roman"/>
                <w:sz w:val="18"/>
                <w:szCs w:val="18"/>
              </w:rPr>
              <w:lastRenderedPageBreak/>
              <w:t>yardımcısı kullanılmaksızın) bağımsız yürüyebildiğinin ve günlük yaşam aktivitelerini bağımsız olarak yerine getirebildiğinin sağlık kurulu raporunda belirtilmesi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Hastanın, protezin çalışmasını ve kullanımını engelleyecek derecede aşırı nem, toz, yüksek gerilim ve elektromanyetik alan gibi özel çevresel faktörlerin olduğu ortamlarda çalışmayacağını belgelemesi veya taahhüt etmesi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Listede yer alan “OP1334” SUT kodlu ve “ENERJİ DEPOLAYAN/ KARBON SİSTEM AYAK DEĞİŞİMİ” adlı ortezprotez ile “OP1335” SUT kodlu ve “KARBON GRAFİT AFO” adlı ortez protezin karşılarındaki “**” işaretleri “A”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Listede yer alan “OP1180” SUT kodlu ve “DİZ ÜSTÜ PROTEZİ-ERKEN AMELİYAT MASASINDA” adlı ortez protezin karşısına “A” ibaresi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Listede yer alan “OP1295” SUT kodlu ve “OP1296” SUT kodlu “STANDİNG TABLE (AYAKTA DİK KONUMLANDIRMA CİHAZI)” adlı ortez protezlerin, “OP1297” SUT kodlu ve “AYAKTA DİK POZİSYONLAMA CİHAZI (PARAPODİUM CİHAZI/STAND UP WHEELCHAİR (MANUEL KALKIŞ MANUEL SÜRÜŞ)” adlı ortez protezin karşılarındaki “A” ibaresi kaldırılmıştır.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Listede yer alan “OP1253” SUT kodlu ve “TRANSKARPAL AMPUTASYONU İÇİN MYOELEKTRİK KONTROLLÜ PROTEZ 2 KANAL TEK ELEKTROTLU” adlı ortez protez ile “OP1266” SUT kodlu ve “DİRSEK ÜSTÜ AMPUTASYONU İÇİN MYOLEKTRİK KONTROLLÜ PROTEZİ 4 KANAL SİSTEM” adlı ortez protez de dahil olmak üzere bu SUT kodları arasındaki satırlarda yer alan ortez ve protezlerin karşılarındaki “A” ibaresi kaldırılmıştır.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f) Listenin en altında yer alan “ÖZEL KOŞULLAR” başlığı altındaki yedinci fıkrada “onayının” ibaresi kaldırılmıştır.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g) Listenin en altında yer alan “ÖZEL KOŞULLAR” başlığı altındaki sekizinci fıkra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ile işaretli olan ortez-protezler için, fiziksel tıp ve rehabilitasyon veya ortopedi ve travmatoloji uzman hekimince düzenlenen hastane başhekiminin imzasının bulunduğu uzman hekim raporu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ğ) Listenin en altında yer alan “ÖZEL KOŞULLAR” başlığı altındaki dokuzuncu fıkrada “onayının” ibaresi kaldırılmıştır.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h) Listenin en altında yer alan “ÖZEL KOŞULLAR” başlığı altındaki onuncu fıkra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ile işaretli olan ortez-protezler için, fiziksel tıp ve rehabilitasyon veya ortopedi ve travmatoloji, nöroloji veya nöroşirurji uzman hekimince düzenlenen hastane başhekiminin imzasının bulunduğu uzman hekim raporu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ı) Listenin en altında yer alan “ÖZEL KOŞULLAR” başlığı altındaki on ikinci fıkra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ile işaretli olan malzemeler için ilgili branştaki uzman hekimce düzenlenen hastane başhekiminin imzasının bulunduğu uzman hekim raporu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i) Listenin en altında yer alan “ÖZEL KOŞULLAR” başlığı altındaki on dördüncü fıkra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“(14) ** Sağlık kurulu raporu, fiziksel tıp ve rehabilitasyon, ortopedi ve travmatoloji ve psikiyatri uzman hekimlerinin bulunduğu üçüncü basamak sağlık kurumları sağlık kurullarınca düzenlenecektir. Bu sağlık kurulu raporlarının protez veya ortezin yapımından önce Sağlık Bakanlığına bağlı Ankara veya İstanbul Fizik Tedavi ve Rehabilitasyon Eğitim ve Araştırma Hastanelerince veya TSK Bilkent Rehabilitasyon merkezince onaylanması gerekmektedir. (OP1334 ve OP1335 kodlu malzemelerde onay şartı aranmaz.)”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j) Listenin en altında yer alan “ÖZEL KOŞULLAR” başlığı altındaki on beşinci fıkra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“(15) MOBİLİTE VE AKTİVİTE DESTEKLEYİCİ ORTEZ VE PROTEZLER başlığı altında yer alan ürünlerin kullanımına ilişkin eğitim aldıkları ve kullanabildikleri, Sağlık Bakanlığına bağlı Ankara veya İstanbul Fizik Tedavi ve Rehabilitasyon Eğitim ve Araştırma Hastanelerince, TSK Bilkent Rehabilitasyon merkezince veya ortez protez üretim ve uygulamaları yapan Üniversitelerce onaylanması gerekmektedir. (OP1334 ve OP1335 kodlu malzemelerde onay şartı aranmaz.)”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k) Listede yer alan “TEKERLEKLİ SANDALYELER” başlığı altındaki ortez ve protezlerin karşısındaki “B” ve “B*” ibareleri kaldırılmıştır.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l) Listede yer alan “OP1291” SUT kodlu ve “ÖZELLİĞİ OLMAYAN MOTORSUZ TEKERLEKLİ SANDALYE” adlı ortez protezin altındaki satırdaki ödeme kriterleri ve/veya kurallarında yer alan “sakatlığı” ibaresi “engellilik durumu”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m) Listede yer alan “OP1292” SUT kodlu ve “ÖZELLİKLİ MOTORSUZ TEKERLEKLİ SANDALYE” adlı ortez protezin altındaki satırdaki ödeme kriterleri ve/veya kurallarının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“(1) Ayakta durmak ve/veya yürümek için alt ekstremitelerini kullanamayacak hastalığı veya engellilik </w:t>
            </w:r>
            <w:r w:rsidRPr="00DF7024">
              <w:rPr>
                <w:rFonts w:ascii="Times New Roman" w:eastAsia="ヒラギノ明朝 Pro W3" w:hAnsi="Times New Roman" w:cs="Times New Roman"/>
                <w:sz w:val="18"/>
                <w:szCs w:val="18"/>
              </w:rPr>
              <w:lastRenderedPageBreak/>
              <w:t>durumu olduğu ortopedi ve travmatoloji, beyin cerrahisi, fiziksel tıp ve rehabilitasyon, erişkin veya çocuk nöroloji uzman hekimlerinden biri tarafından düzenlenecek sağlık kurulu raporu ile belgelenenlere bu hekimlerce reçete edilmesi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n) Listede yer alan “OP1292” SUT kodlu ve “ÖZELLİKLİ MOTORSUZ TEKERLEKLİ SANDALYE” adlı ortez protezin altındaki satırdaki ödeme kriterleri ve/veya kurallarının ikinci fıkrasında yer alan “özürlülük” ibaresi “engellilik” şeklinde; “özürlülüğünün” ibaresi ise “engellilik durumunun” şeklinde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o) Listede yer alan “OP1293” SUT kodlu ve “AKÜLÜ TEKERLEKLİ SANDALYE” adlı ortez protezin altındaki satırdaki ödeme kriterleri ve/veya kurallarının birinci fıkrasında yer alan “sakatlığının” ibaresi “engellilik durumunun”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ö) Listede yer alan “OP1293” SUT kodlu ve “AKÜLÜ TEKERLEKLİ SANDALYE” adlı ortez protezin altındaki satırdaki ödeme kriterleri ve/veya kurallarının ikinci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Yukarda sayılan hastalıklar gibi tekerlekli sandalyeyi hareket ettirememesi ya da hareket ettirmesi halinde kişinin sağlığının tehlikeye gireceği durumlarda, bu durumlarının Ortopedi ve Travmatoloji, Beyin Cerrahisi, Fiziksel Tıp ve Rehabilitasyon, erişkin veya Çocuk Nöroloji uzman hekimlerinden birinin ve kalp yetmezliği veya koroner arter hastalıkları varsa ayrıca Kardiyoloji uzmanı, adı geçen branşta hekim yoksa Dahiliye uzmanı; kronik obstrüktif akciğer hastalıkları varsa ayrıca Göğüs Hastalıkları uzmanı, adı geçen branşta hekim yoksa Dahiliye uzmanının yer aldığı; mental fonksiyonlar yönünden akülü tekerlekli sandalye kullanıp kullanamayacağı hususunun ayrıca belirtildiği; psikiyatri uzman hekiminin de yer aldığı sağlık kurullarınca düzenlenen sağlık kurulu raporuyla belgelendirilmesi şartıyla akülü tekerlekli sandalye Kurumca bedelleri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p) Listede yer alan “OP1293” SUT kodlu ve “AKÜLÜ TEKERLEKLİ SANDALYE” adlı ortez protezin altındaki satırdaki ödeme kriterleri ve/veya kurallarının üçüncü ve dördüncü fıkraları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Trafik tescili zorunlu olan ve kullanımı için H sınıfı sürücü belgesi gerektiren motorlu malul arabalarının Kurumca bedelleri karşılanmaz. Ancak, SUT’un yürürlük tarihinden önce Kurumca temin edilmiş motorlu malul arabalarının bakım ve onarım işlemleri SUT hükümleri doğrultusunda yürütülür.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Akülü tekerlekli sandalye en az; elektronik kumandalı, kapalı devre sistemiyle yokuş aşağı bile hızı ve yönü ayarlanabilir, 6-12 derece arası eğimde kullanılabilme imkanı, taşıma için katlanabilir, hız limiti ayarlanabilir, 120 kg taşıma kapasitesinde, elektronik akü şarj cihazlı, tek veya çift akü kutusu ile 24 V akülü özelliklerine haiz olmalı ve ilgili firma tarafından 2 (iki) yıl garanti, 10 (on) yıl yedek parça bulunurluk garantisi, teknik destek taahhütnamesi verilmiş olmalıdır.”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r) Listede yer alan “MYOELEKTRİK KONTROLLÜ PROTEZLER” başlığı altındaki satırdaki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Sağlık kurulu raporu ile önerilen myoelektrik kontrollü kol protezleri;</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Bilateral üst ekstremite amputasyon/uzuv eksiklikleri olan hastaların her iki üst ekstremitesine,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Tek taraflı non dominant üst ekstremite amputasyon/uzuv eksiklikleri ile birlikte karşı ekstremiteyi kullanamayacak hastalara,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Tek taraflı dominant üst ekstremiteamputasyon/uzuv eksiklikleri olan hastalara,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reçete edilmesi durumunda Kurumca bedelleri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Sağlık kurulu raporunda; hastanın myoelektrik kontrollü kol protezi kullanımına ilişkin eğitim aldığı ve kullanabileceğinin yanında ayrıntılı değerlendirmeleri içeren ilgili uzman hekimlerin görüşünün yer alması zorunlu olup söz konusu raporların Sağlık Bakanlığına bağlı Ankara veya İstanbul Fizik Tedavi ve Rehabilitasyon Eğitim ve Araştırma Hastanelerince veya TSK Ankara Rehabilitasyon merkezince onaylanması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Myoelektrik kontrollü kol protezlerine yönelik sağlık kurulu raporu, Fiziksel Tıp ve Rehabilitasyon, Ortopedi ve Travmatoloji ve Psikiyatri uzman hekimlerinin birlikte bulunduğu 3.Basamak sağlık kurumları sağlık kurullarınca düzenlenecektir.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Myoelektrik kontrollü kol protezleri Fiziksel Tıp ve Rehabilitasyon veya Ortopedi ve Travmatoloji uzman hekimlerince reçete edilebilir.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6 yaş öncesi hastalara temin edilen çocuk/yetişkin myoelektrik kontrollü kol protezi bedelleri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6) 17 yaş ve üzeri hastalarda çocuk myoelektrik kontrollü kol protezi bedelleri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7) Çocuk myoelektrik kontrollü kol protezi bedelleri 6-16 yaş (6 ve 16 yaş dahil) arasında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8) Sağlık kurulu raporunu düzenleyen ilgili sağlık kurumunda reçeteyi düzenleyen hekim tarafından myoelektrik kol protezinin hastada uygulandığının, hastanın protezinin özelliklerine uygun fonksiyonları yerine getirebildiğinin (reçetede yazılan amaçlara uygun olduğunun) reçete arkasına yazılarak onaylanması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9) Myoelektrik kontrollü kol protezini yapan uygulama merkezi tarafından, hastanın protezin teknik özelliklerine uygun fonksiyonel hareketlerini yerine getirebildiğinin (fatura ekinde yer alması) belgelendirilmesi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10) Protezin kontrolünü sağlayacak kaslardan yüzey elektromiyografi (sEMG) çalışması en fazla kasılma </w:t>
            </w:r>
            <w:r w:rsidRPr="00DF7024">
              <w:rPr>
                <w:rFonts w:ascii="Times New Roman" w:eastAsia="ヒラギノ明朝 Pro W3" w:hAnsi="Times New Roman" w:cs="Times New Roman"/>
                <w:sz w:val="18"/>
                <w:szCs w:val="18"/>
              </w:rPr>
              <w:lastRenderedPageBreak/>
              <w:t>sırasında yapılan incelemede daha önce belirlenmiş yeterli eşik değer (motor ünite aksiyon potansiyeli (MÜAP) amplitüt ölçümü, karesel ortalama karekök (RMS), güç spektral analizi vb) ve üzerinde aktivitenin saptanması veya bu konuda özelleşmiş myotest ölçümleri yapabilen tanı/geri bildirim cihazları yardımı ile sağlık kurulu raporunu düzenleyen sağlık kurumlarınca elektrodu çalıştırabilecek yeterli aksiyon potansiyeline sahip olduğu belgelendirilmelidir.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11) Myoelektrik kontrollü kol protezlerinin yenilenme süresi 10 (on) yıldır. Bu süreden önce temin edilen myoelektrik kontrollü kol protezlerinin Kurumca bedelleri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12) Myoelektrik kontrollü kol protezi temin edildikten sonra hasta tarafından, yüksek gerilim altında ve manyetik alanlarda çalışmayacağını belgelemesi veya taahhüt etmesi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13) Myoelektrik kontrollü omuz dezartikülasyon kol protezlerinin Kurumca bedelleri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s) Listede yer alan “OP1334” SUT kodlu ve “ENERJİ DEPOLAYAN/KARBON SİSTEM AYAK DEĞİŞİMİ” adlı ortezprotezin karşısındaki “ÖZEL KOŞULLAR” sütununda yer alan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“SUT eki EK-3/C2 listesinde yer alan protezler ile birlikte fatura edilemez. Ancak, MOBİLİTE VE AKTİVİTE DESTEKLEYİCİ ORTEZ VE PROTEZLER başlığı altında yer alan protezlerin tamir bakım işlemlerinde fatura edilmesi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27 –</w:t>
            </w:r>
            <w:r w:rsidRPr="00DF7024">
              <w:rPr>
                <w:rFonts w:ascii="Times New Roman" w:eastAsia="ヒラギノ明朝 Pro W3" w:hAnsi="Times New Roman" w:cs="Times New Roman"/>
                <w:sz w:val="18"/>
                <w:szCs w:val="18"/>
              </w:rPr>
              <w:t xml:space="preserve"> Aynı Tebliğ eki “DİĞER PROTEZ ORTEZLER” (EK-3/C3)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Listede yer alan “DO1005” SUT kodlu ve “KULAK KALIBI” adlı ortez protezin altındaki satırdaki ödeme kriterleri ve/veya kuralı çıkarılmıştır.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Listede yer alan “İŞİTME CİHAZI VE KULAK KALIBI” başlığı altındaki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Kurumca bedeli karşılanacak olan dijital programlanabilir işitme cihazları; GC (Kazanç Kontrol), TC (Ses Tını Kontrol), PC (Yüksek Frekansta Maksimum Çıkış), MPO (Alçak Frekansta Maksimum Çıkış) ve AGC (Otomatik Kazanç Kontrol) özelliklerinden en az 3 (üç) fonksiyona sahip olmalıdır.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0-18 yaş çocuklar için eğitimleri de göz önünde bulundurularak, dijital programlanabilir işitme cihazları;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0-4 yaş için; en az dört kanallı veya kanaldan bağımsız, çift mikrofonlu, gürültü azaltıcı özellikli, feedback yönetimi özellikli olmalıdır. Bu kişilerde kulak içi cihaz kullanıldığı takdirde bedeli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5-12 yaş için; en az dört kanallı veya kanaldan bağımsız, en az sekiz bandlı, FM sistem uyumlu, çift mikrofonlu, gürültü azaltıcı özellikli, feedback yönetimi özelliği olmalıdır. Bu kişilerde kulak içi cihaz kullanıldığı takdirde bedeli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13-18 yaş için; en az dört kanallı veya kanaldan bağımsız, en az sekiz bandlı, gürültü azaltıcı özellikli, FM sistem uyumlu, çift mikrofonlu (kanal içi cihazda bu şart aranmaz.) ve feedback yönetimi özellikli olmalıdır.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İşitme cihazı bedellerinin ödenebilmesi için SUT’un 5.3.4 numaralı maddesinde tanımlanan belgelere ilave olarak;</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Odyolojik test sonuçlarını gösterir belgenin, testi yapan yetkili personel tarafından imza ve kaşesinin bulunduğu onaylanmış aslı;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0-4 yaş arası çocuklar için beyin sapı odyometrisinin (ABR Testi) Kulak Burun Boğaz Hastalıkları uzman hekimi, uzman odyolog veya odyolog tarafından imza ve kaşesinin bulunduğu onaylanmış aslı,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4 yaş ve üzerinde odyolojik test sonuçlarını gösterir belgenin Kulak Burun Boğaz Hastalıkları uzman hekimi, uzman odyolog, odyolog veya odyometrist tarafından imza ve kaşesinin bulunduğu onaylanmış aslı,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4 yaş ve üzerinde saf ses odyometrisine cevap veremeyen hastalarda beyin sapı odyometrisinin (ABR), Kulak Burun Boğaz Hastalıkları uzman hekimi, uzman odyolog veya odyolog tarafından imza ve kaşesinin bulunduğu onaylanmış aslı,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İşitme cihazına ait barkod ile birlikte cihazın marka, model ve seri numarasını gösterir etiketin aslı,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Sağlık Bakanlığınca düzenlenmiş olan ruhsatname ve sorumlu müdür belgesinin onaylı örneği,</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İşitme cihazına ve tedarikçi firma ve/veya alt bayii bilgilerine ait TİTUBB PRICAT çıktıları,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Hastanın işitme eşiklerinin bu cihaza ait işitme kazanç eğrisinin içerisinde yer aldığını gösterir işitme cihazı merkezi tarafından düzenlenmiş ıslak imzalı belge (gerçek kulak ölçümü sonuçları),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İşitme cihazının hastanın işitme kaybına uygunluğunu belirten ve merkez tarafından düzenlenmiş ıslak imzalı taahhütname,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f) İşitme cihazının teknik bilgilerinin (cihazın tipi, maksimum kazanç, maksimum çıkış gücü, kazanç eğrisi) yer aldığı, işitme merkezi tarafından onaylanmış katalog,</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istenecektir.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lastRenderedPageBreak/>
              <w:t>(5) İşitme cihazı bedellerinin Kurumca ödenebilmesi için, Kurumla sözleşmeli resmi sağlık kurumlarınca en az 1 (bir) Kulak Burun Boğaz Hastalıkları uzman hekiminin yer aldığı sağlık kurulu raporu düzenlenecektir.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(6) Sağlık kurulu raporunda işitme cihazının dijital programlanabilir olduğu ayrıca belirtilecektir.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(7) Odyometri testi, Kulak Burun Boğaz Hastalıkları uzman hekimi veya uzman odyolog veya odyolog veya odyometrist tarafından onaylanmış olması halinde kabul edilecektir. İşitme cihazı reçetesinin de sağlık kurulu raporunu düzenleyen sağlık kurumlarında/kuruluşlarında düzenlenmiş olması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(8) Odyometri testi en az 250-500-1000-2000-4000-8000 Hz frekanslarda hava yolu ve 500-1000-2000-4000 Hz frekanslarda kemik yolu işitme eşiklerini ve konuşmayı ayırt etme skorlarını içermelidir. Kötü işiten kulakta 500-1000-2000 Hz frekanslarında saf ses ortalamasının en az 30 dB ve üzerinde olması ya da her bir kulakta 2000-4000 Hz frekanslarında 40 dB ve üzeri işitme kaybı olması durumunda işitme cihazı bedelleri Kurumca karşılanacaktır.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(9) Her iki kulak için işitme cihazı bedeli ödenebilmesi için;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Sağlık kurulu raporunda iki kulakta işitme kaybının bulunduğunun belirtilmesi gereklidir.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1000-2000 Hz frekanslarında her iki kulaktaki saf ses ortalamasının farkı 15 dB’den az ve her iki kulak arasındaki konuşmayı ayırt etme skoru farkı % 20’den az olmalıdır.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(10) İşitme durumunda değişiklik olması ve verilen cihazın yeterli gelmemesi durumunda, bu durumun Kurumla sözleşmeli resmi sağlık kurumunca düzenlenen sağlık kurulu raporu ile belgelenmesi halinde süresinden önce yenilenebilir.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(11) İşitme durumunda değişiklik nedeniyle işitme cihazının yenilenmesi gerektiğinde, eski cihazın temin dönemindeki odyometrik bulgularla yeni odyometrik bulgular arasındaki farkın sağlık kurulu raporunda belirtilmelidir.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(12) İşitme cihazı sağlık kurulu raporu ve odyolojik test sonuçları 6 (altı) ay süreyle geçerlidir.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(13) İşitme cihazı kulak kalıplarının yenilenmesinin gerektiği, sağlık kurulu raporu ile ibraz edilmesi durumunda Kurumca bedelleri karşılanır. Ancak, işitme cihazlarının ilk kez alınması aşamasında, kulak kalıpları için ayrıca herhangi bir ödeme yapılmayacaktır.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(14) 18 yaş altı çocuklar için belirlenmiş olan tutar; 0-4 yaş için % 80, 5-12 yaş için % 60 ve 13-18 yaş için % 50 oranında artırılarak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Listede yer alan “NEBÜLİZATÖR CİHAZI” başlığı altındaki satırdaki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Nebulizatör cihazı verilmesine ilişkin sağlık kurulu raporlarının,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Erişkin hastalar için; Göğüs Hastalıkları veya Alerji Hastalıkları uzmanlarından en az birinin yer aldığı sağlık kurulu tarafından düzenlenmesi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Çocuk hastalar için; Çocuk Alerjisi uzmanı veya Çocuk Göğüs Hastalıkları uzmanı, bu uzman hekimlerin bulunmadığı sağlık kurumlarında Çocuk Sağlığı ve Hastalıkları uzmanlarından, en az birinin yer aldığı sağlık kurulları tarafından düzenlenmesi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Sağlık kurulu raporu ekinde solunum fonksiyon testi (SFT) ve gerekiyorsa arteriyel kan gazı (AKG) sonuçlarını gösterir belge eklenecektir.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Kompresör tipi nebülizatör bedelleri Kurumca karşılanacak olup ultrasonik nebulizerler bedelleri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Erişkin hastalarda cihazın verilmesine ilişkin olarak; inhaler preparatları ve inhaler preparatların kullanılmasına yardımcı aletleri (airchamber, spacer v.b.) kullanamadığı sağlık kurulu raporu ile belgelenen,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Stabil kronik akciğer hastalığı olanlarda; FEV1≤40 ise AKG değerlerine bakılmaksızın, FEV1&gt;40 ise; AKG’da PaO2≤55 mmhg veya SaO2≤ 88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Persistan astımlı hastalarda; FEV1 veya PEFR≤%60 veya FEV1 veya PEFR % 60-80 arasında olup günlük PEFR veya FEV1 değişkenliği %30’un üzerinde,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Bronşiektazi tanısı ile birlikte kalıcı hava yolu obstrüksiyonu olan hastalarda; stabil dönemde FEV1≤ 40 olduğu sağlık kurulu raporunda belirtilmesi ve dayanağı belgelerin rapor ekinde yer alması koşuluyla nebülizatör cihazı bedelleri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Çocuk hastalarda cihazın verilmesine ilişkin olarak;</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Persistan astımlı hastalarda; FEV1 veya PEFR≤%60 olan veya FEV1 veya PEFR % 60-80 arasında olup günlük PEFR veya FEV1 değişkenliği %30’un üzerinde olması veya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14 (on dört) yaşın üstündeki hastalarda; FEV1 veya PEFR≤40 olması veya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6 (altı) yaşın altındaki hastalar ve 6 (altı) yaşın üstünde olup ek sorunu (örneğin nörolojik bir sorun) nedeniyle solunum fonksiyon testi yapılamayan hastalarda bu durumun sağlık kurulu raporunda belirtilmesi koşuluyla nebülizatör cihazı bedelleri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Astımlı çocuklarda sadece ağır veya çok ağır (hayatı tehdit eden) astım krizlerinde kan gazı değişikliği olabilir. Astım krizinde olmayan persistan ağır astımı olan çocuklarda arteryal kan gazı sonuçları, ister 6 yaş altı isterse 6 yaş üstü olsun nebülizer cihaz endikasyonu için aranmaz.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(6) Solunum fonksiyon testi yapamayan ve kronik akciğer hastalığı tanısı almış çocuklarda, </w:t>
            </w:r>
            <w:r w:rsidRPr="00DF7024">
              <w:rPr>
                <w:rFonts w:ascii="Times New Roman" w:eastAsia="ヒラギノ明朝 Pro W3" w:hAnsi="Times New Roman" w:cs="Times New Roman"/>
                <w:sz w:val="18"/>
                <w:szCs w:val="18"/>
              </w:rPr>
              <w:lastRenderedPageBreak/>
              <w:t>bronkopulmonerdisplazi, bronşiolitis obliterans tanılı hastalarda, interkostal adaleleri çalışmayan veya mental retarde (IQ≤40) olan nörolojik sorunlu hastalarda PaO2≤55 mmHg veya SaO2≤88 olması halinde bu durumun sağlık kurulu raporunda belirtilmesi gerekmektedir.”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Listede yer alan “DO1013” SUT kodlu ve “BPAP/BPAP S CİHAZI” başlığı altındaki satırdaki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BPAP cihazı için solunumsal uyku hastalıklarında SUT "3.3.6.A-1" maddesinde yer alan genel hükümlere ilaveten; yüksek nazal hava akımını tolere edemeyen, CPAP maskesinde önemli düzeyde hava kaçağı olan veya pozitif basınca karşı nefes verme güçlüğü yaşayan OUAS hastalarında veya Uyku ile ilişkili hipoventilasyon/hipoksemik sendromu (restriktif akciğer hastalığı, kronik obstrüktif akciğer hastalığı, obesite-hipoventilasyon sendromu, pulmoner parankimal veya vasküler patolojilere bağlı hipoventilasyon/hipoksemi vb) olan hastalarda; bu durumun düzenlenecek sağlık kurulu raporunda belirtilmesi koşuluyla BPAP cihazı (auto BPAP hariç) bedelleri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BPAP S cihazı için kronik solunum yetmezliğinde SUT "3.3.6.A-2" maddesinde yer alan genel hükümlere ilaveten;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Restriktif akciğer hastalıklarında;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PaCO2 ≥ 45 mmHg veya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En az 2 lt /dk akım hızında nazal O2 desteği altında O2 saturasyonunun 5 dk süreyle kesintisiz ≤ %88 veya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İlerleyici nöromüsküler hastalıklar için maksimal inspratuar basınç (MİP)≤ 60 cm H2O veya FVC ≤ %50, olarak saptanması ve bunlara ilişkin kanıtlayıcı belgelerin (solunum fonksiyon testi, arteriyel kan gazı ölçümü) sağlık kurulu raporu ekinde yer alması koşuluyla BPAP-S cihazı bedelleri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Obstriktif akciğer hastalıkları: Uygun bronkodilatatör ve O2 tedavisine rağmen;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PaCO2≥55 mmhg veya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PaCO2 50 ve 54 mmHg arasında ise en az 2 lt/dk akım hızında nazal O2 desteği altında noktürnal O2 saturasyonunun 5 dk süreyle kesintisiz ≤ %88 veya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PaCO2 50 ve 54 mmHg arasında olup, bir yılda ikiden fazla hiperkapnik atak nedeniyle hastaneye yatırılan, kronik obstrüktif akciğer hastalığı olan hastalarda; bu durumların sağlık kurulu raporunda belirtilmesi ve bunlara ilişkin kanıtlayıcı belgelerin (solunum fonksiyon testi, arteriyel kan gazı ölçümü) sağlık kurulu raporu ekinde yer alması koşuluyla BPAP-S cihazı bedelleri Kurumca karşılanır. (hasta solunum fonksiyon testi yapamıyorsa bu durum sağlık kurulu raporunda açıkça belirtilmelidir.)”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Listede yer alan “DO1017” SUT kodlu ve “EV TİPİ MEKANİK VENTİLATÖR (EN AZ BASINÇ DESTEKLİ VENTİLASYON (PSV) İLE BİRLİKTE VOLÜM VE/VEYA BASINÇ KONTROLLÜ VENTİLASYON (VCV, PCV) SAĞLAYAN VENTİLATÖRLER)” başlığı altındaki satırdaki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İnvaziv mekanik ventilasyon cihazının uygulama endikasyonları;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Akut solunum yetmezliği sonrasında yoğun bakımdan çıkışına engel kalmayacak şekilde diğer sistem hastalıkları tedavi edildiği ve kronik tedavi uygulamaları düzenlendiği halde invaziv solunum desteğinden ayrılamayan veya ayrılma olasılığı olmayan trakeotomili hastalarda,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Kronik ve/veya ilerleyici solunum yetmezliği veya başka kronik organ disfonksiyonlarına sekonder solunum yetmezliği nedeni ile non-invaziv mekanik ventilasyon uygulamasının yetersiz kaldığı, yapılamadığı veya yapılmasının kontrendike olduğu ve sürekli olarak invaziv solunum desteği ihtiyacı olan hastalarda,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kullanılması halinde ev tipi mekanik ventilatör cihazı bedeli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Cihazın temini için hastayı takip eden uzman hekimin ve yoğun bakım sorumlusu uzman hekimin (İç Hastalıkları, Göğüs Hastalıkları, Anestezi ve Reanimasyon, Nöroloji, hastanın çocuk olması halinde ise Çocuk Hastalıkları, Çocuk Göğüs Hastalıkları, Çocuk Yoğun Bakım uzmanları) yer aldığı, 2 nci ve 3 üncü basamak yoğun bakım ünitesi bulunan sağlık kuruluşlarınca ayrıntılı olarak düzenlenecek sağlık kurulu raporuna istinaden bedelleri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Raporda hastanın gereksinimine göre cihazın teknik özelliklerinin belirtilmesi gerekir. Bu teknik özellikler hastanın solunumsal stabilitesini sağlayan MV parametrelerini (Mod, Vt, frekans, tetikleme hassasiyeti, Pins, Psup, PEEP, FiO2, İnspiratuar akış hızı veya I: E oranı) kapsamalıdır.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İnvaziv mekanik ventilasyon cihazının yenilenme süresi 5 yıldır. Bu süreden önce yenilenen cihazların bedelleri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Aşağıda belirtilen invaziv mekanik ventilasyon cihazı ile birlikte kullanılması ve belli süreden önce değişmesi gereken aksesuarlar ve yardımcı sarf malzemelerinin bedelleri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Solunum devreleri (ayda 2 adet)</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Bağlantı üniteleri (ayda 1 adet)</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Trakeotomi kanülü (ayda 2 adet)</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Isı nem tutucu filtre (haftada 2 adet)</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Aspirasyon sondası (günde 4 adet)</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lastRenderedPageBreak/>
              <w:t>Ancak, ev tipi mekanik ventilatörler ile birlikte kullanılan aspirasyon sondasının günde 4 adedi aşan kullanımları, düzenlenen sağlık kurulu raporunda belirtilmesi ve Kurumun inceleme birimleri tarafından uygun görülmesi şartıyla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(6) İnvaziv mekanik ventilasyon cihazı için düzenlenen sağlık kurulu raporunda belirtilmesi koşulu ile oksijen konsantratörü, oksijen tüpü, ev tipi aspirasyon cihazı, nebulizatör, nemlendirici, ambu seti bedelleri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(7) İnvaziv mekanik ventilasyon cihazlarının kullanımı ve bakımı konusunda verilecek eğitim, hasta için izleme programı oluşturulması, hastayı taburcu eden ve raporlarını düzenleyen hekimin ve hastanenin sorumluluğundadır.”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Listede yer alan “LENF ÖDEM KOMPRESYON CİHAZLARI” başlığı altındaki satırdaki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3.Basamak Hastanelerde Genel Cerrahi, Fizik Tedavi ve Rehabilitasyon, Plastik, Rekonstrüktif ve Estetik Cerrahi ile Kalp Damar Cerrahisi branşhekimlerinden birinin bulunduğu sağlık kurulu raporlarına istinaden ilgili hekimlerce reçete edilmesi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Evre II-III lenf ödemi olan;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Evre II: Gode, elevasyon ile ödem azalmaz ve klinik olarak fibrozis belirgin.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Evre III: Ödem irreversible, tekrarlayan infeksiyöz ataklar, fibrozis, deri ve deri altında skleroz, flebolenf ödemi ya da ileri evre (C4-6) kronik venöz hastalık bulunan hastalarda Kurumca bedelleri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Heyet raporu ekinde lenf ödemli hastaların, flebolenfödem ya da ileri evre (C4-6) kronik venöz hastalık venöz yetmezliğe bağlı durumlarda venöz sistem doppler ultrasonografi raporu ekte olmalıdır. Hastaların karşılaştırmalı her iki ekstremite fotoğrafları da rapora eklenmelidir.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Kompresyon cihazları diz altı lenf ödemlerde veya venöz yetmezliklerde en fazla 2 (iki) kanallı, diz üstü lenf ödemlerde veya venöz yetmezliklerde en fazla 6 (altı) kanallı, üst ekstremite lenf ödemlerde veya venöz yetmezliklerde en fazla 1 (bir) kanallı olması halinde Kurumca bedeli karşılanır. Sadece Evre II lenf ödemlerde en fazla 2 (iki) kanallı cihaz bedeli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Cihazın diz altı, diz üstü, üst ekstremite ve kaç kanallı olacağı ilgili hekim raporunda belirtilmelidir.”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f) Listede yer alan “YANIK BASI GİYSİLERİ” başlığı altındaki satırdaki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Erişkin hastalarda Plastik, Rekonstrüktif ve Estetik Cerrahi veya Genel Cerrahi uzmanlarının birlikte bulunduğu; 18 (on sekiz) yaşının altındaki yanık hastalarında ise Plastik, Rekonstrüktif ve Estetik Cerrahi veya Genel Cerrahi veya Çocuk Cerrahisi uzmanları tarafından düzenlenen heyet raporuna istinaden ve bu uzman hekimlerden herhangi biri tarafından reçete edilmesi halinde bedelleri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İkinci ve üçüncü derece yanık sonrası oluşmuş hipertrofik skar ve keloidlerin tedavisi ve azaltılması, oluşabilecek hipertrofik skarı önlemek amacıyla, 0-3 yaş çocuklarda 3 (üç) ayda 1 (bir), daha büyük çocuklarda 6 (altı) ayda 1 (bir), erişkinlerde ise yılda 1 (bir) kez reçete edilebilir.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Rapor geçerlilik süresi 1 (bir) yıldır.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Hastaya alerjik veya toksik etki göstermemelidir.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Ortalama 15-40 mmHg basınç uygulamalı ve kullanım süresinin sonuna kadar bu basıncın en az yarısını sağlayabilmelidir.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(6) İç yüzeyi hastada bası yaralarına yol açmayacak tarzda dikişsiz ve pürüzsüz olmalıdır.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(7) Fermuar vb. aksesuarlar kullanılacaksa hastaya zarar vermeyecek şekilde yerleştirilmeli ve kullanım süresi boyunca bozulmayacak yapıda olmalıdır.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(8) Giysi sık yıkanabilir kumaştan imal edilmeli yıkanma ile deforme olmamalı, boyutları değişmemeli ve yıkama talimatı hastaya verilmelidir.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(9) Değişik renk ve desenlerde olabilir. (özellikle çocuklarda kullanımı özendirebilmek için)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(10) Hasta ile temas eden iç kısmında hekimin uygun görmesi halinde uygun gördüğü alanlar silikon tabaka ile kaplanabilmelidir.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(11) Bası giysilerinde kullanılacak silikon tabaka miktarı sağlık kurulu raporu ile belirlenen hipertrofikskar alanının %10 fazlasından daha geniş olamaz.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(12) 18 (on sekiz) yaşın altındaki yanık hastalarında SUT eki Ek-3/C3 listesindeki kriterlere uygun ısmarlama yanık bası giysileri, erişkinlerde ise ihtiyaca göre ısmarlama veya hazır bası giysileri fatura edilebilir.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(13) Bası giysilerinin yanık olayını takiben ilk 6 (altı) ay içinde kullanılmaya başlanması halinde bedeli Kurumca karşılanacaktır.”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g) Listede yer alan “DO1020” SUT kodlu ve “MİKRO İNFÜZYON POMPASI (İNSÜLİN POMPASI)” adlı tıbbi malzemenin altındaki satırdaki ödeme kriterleri ve/veya kurallarının birinci fıkrasında yer alan “Mikro infüzyon pompası” ibaresi “Açık loop mikro infüzyon pompası”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28 –</w:t>
            </w:r>
            <w:r w:rsidRPr="00DF7024">
              <w:rPr>
                <w:rFonts w:ascii="Times New Roman" w:eastAsia="ヒラギノ明朝 Pro W3" w:hAnsi="Times New Roman" w:cs="Times New Roman"/>
                <w:sz w:val="18"/>
                <w:szCs w:val="18"/>
              </w:rPr>
              <w:t xml:space="preserve"> Aynı Tebliğ eki “TIBBİ SARF MALZEMELER” (EK-3/C4)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lastRenderedPageBreak/>
              <w:t>a) “A10041” SUT kodunun karşısında yer alan “SİLİKON” adlı ortez protezinin adı “İLEOSTOMİ TORBASI (ADAPTÖR İÇİN)(FİLTRE DAHİL)”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Bu Tebliğ eki (5) numaralı listede belirtilen tıbbi malzemelerin ve fiyatlarının yürürlük tarihi “01.09.2012”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“A10049” SUT kodlu “HASTA ALT BEZİ” başlığı altındaki satırdaki ödeme kriterleri ve/veya kurallarının beşinci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Sağlık raporunda; kolostomili hastalarda idrar inkontinansı, ürostomili hastalarda gaita inkontinansıolduğunun belirtilmesi halinde hasta alt bezinin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Listede yer alan “A10099” SUT kodlu “KÖPÜKLÜ VEYA FİBER İÇERİKLİ YARA ÖRTÜSÜ ORTA” başlığı altındaki satırdaki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Bol eksudalı yaralar ve/veya masere yaralarda kullanılması halinde bedeli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Kuru yaralar ve/veya enfekte yaralar ve/veya grade 4 iskemik arter hastalığı tanısı konulan hastalarda kullanılması halinde bedeli Kurumca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Kapasite tamamlanmadan önce (leke kenara ulaşmadan önce) ve/veya 2-7 gün içinde değiştirilmelidir.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100-225 cm</w:t>
            </w:r>
            <w:r w:rsidRPr="00DF7024">
              <w:rPr>
                <w:rFonts w:ascii="Times New Roman" w:eastAsia="ヒラギノ明朝 Pro W3" w:hAnsi="Times New Roman" w:cs="Times New Roman"/>
                <w:sz w:val="18"/>
                <w:szCs w:val="18"/>
                <w:vertAlign w:val="superscript"/>
              </w:rPr>
              <w:t>2</w:t>
            </w:r>
            <w:r w:rsidRPr="00DF7024">
              <w:rPr>
                <w:rFonts w:ascii="Times New Roman" w:eastAsia="ヒラギノ明朝 Pro W3" w:hAnsi="Times New Roman" w:cs="Times New Roman"/>
                <w:sz w:val="18"/>
                <w:szCs w:val="18"/>
              </w:rPr>
              <w:t>’ye kadar olanlar orta yara örtüsü olarak kabul edilir.”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“A10103” SUT kodlu “KOKLEAR İMPLANT KONUŞMA İŞLEMCİSİ” başlığı altındaki satırdaki ödeme kriterleri ve/veya kurallarının birinci fıkrası aşağıdaki şekilde değiştirilmiş ve ikinci fıkra aşağıdaki şekilde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Konuşma işlemcisi, 7 (yedi) yıldan önce yenilenemez. Ancak Kİ kurul raporuna istinaden tamiri mümkün olmayan durumlarda (kullanıcı kusuruna bağlı olmaksızın) bu süre dikkate alınmadan süresinden önce yenilenebilir. 7 (yedi) yılı dolduran kişilerde Kİ kurulunun uygun görmesi halinde Kİ kurul raporuna istinaden yenilenebilecektir.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Bozulduğu rapor edilen konuşma işlemcisi, Kurum taşra teşkilatına teslim edilecektir.”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“A10104” SUT kodlu “AKTARICI (BOBİN, TRANSMİTTER)” başlığı altındaki satırdaki ödeme kriterleri ve/veya kurallarının birinci fıkrasında yer alan “Bozulduğu rapor edilen konuşma işlemcisi, Kurum taşra teşkilatına teslim edilecektir.” ibaresi metinden çıkarılmıştır.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29 – </w:t>
            </w:r>
            <w:r w:rsidRPr="00DF7024">
              <w:rPr>
                <w:rFonts w:ascii="Times New Roman" w:eastAsia="ヒラギノ明朝 Pro W3" w:hAnsi="Times New Roman" w:cs="Times New Roman"/>
                <w:sz w:val="18"/>
                <w:szCs w:val="18"/>
              </w:rPr>
              <w:t>Aynı Tebliğ eki “ÖZEL HALLERDE KARŞILANAN TIBBİ MALZEMELER” (EK-3/C5)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“100006” SUT kodlu ve “ENERJİ DEPOLAYAN/KARBON SİSTEM AYAK FARKI” adlı tıbbi malzemenin “ÖZEL KOŞULLAR” sütununda yer alan hükümde geçen “(**)” ibaresi kaldırılmıştır.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Listenin sonundaki birinci fıkrada yer alan “onayının” ibaresi kaldırılmıştır.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30 – </w:t>
            </w:r>
            <w:r w:rsidRPr="00DF7024">
              <w:rPr>
                <w:rFonts w:ascii="Times New Roman" w:eastAsia="ヒラギノ明朝 Pro W3" w:hAnsi="Times New Roman" w:cs="Times New Roman"/>
                <w:sz w:val="18"/>
                <w:szCs w:val="18"/>
              </w:rPr>
              <w:t>Aynı Tebliğ eki “GÖRMEYE YARDIMCI TIBBİ MALZEMELER” (EK-3/D)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Listede yer alan “GZ.11120” SUT kodlu tıbbi malzemenin adı “Yakın Okuma Kepi Tek*”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Listede yer alan “GZ.11050” SUT kodlu tıbbi malzemenin adı “Yakın Okuma Kepi Çift*”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31 – </w:t>
            </w:r>
            <w:r w:rsidRPr="00DF7024">
              <w:rPr>
                <w:rFonts w:ascii="Times New Roman" w:eastAsia="ヒラギノ明朝 Pro W3" w:hAnsi="Times New Roman" w:cs="Times New Roman"/>
                <w:sz w:val="18"/>
                <w:szCs w:val="18"/>
              </w:rPr>
              <w:t>Aynı Tebliğ eki “OMURGA CERRAHİSİ ALAN GRUBUNA AİT TIBBİ MALZEMELER” (EK-3/E1)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Listede yer alan “Ek-5/E” ibareleri “EK-3/E-1”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Listenin en altında yer alan “GENEL HÜKÜMLER” başlığı altındaki hükümlerin yedinci fıkrasında yer alan “tanıya dayalı işlemler listesi (EK-9)” ibaresi “TANIYA DAYALI İŞLEM PUAN LİSTESİ (EK-2/C)”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Listenin en altında yer alan “GENEL HÜKÜMLER” başlığı altındaki hükümlerin sekizinci fıkrasının “a” ve “b” bentleri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45 (kırk beş) yaş ve altı, aktif hayat beklentisi olan, lomber hareketlerinin korunması amaçlanan, dejeneratif omurga sorunu bulunmayan, hareketli sistemlerin tek segmenti geçmeyecek şekilde kullanımı halinde bedelleri Kurum mevzuatı doğrultusunda karşılanacaktır. (rigid ve dinamik sistemlerin bir arada kullanıldığı durumlarda dinamik sistem bir segmenti geçemez, hareketli ya da yarı hareketli sistemin uygulandığı segmentte füzyon materyalleri kullanılması halinde, sistem ve füzyon materyallerinin Kurumca bedeli karşılanmaz.)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Lomber hareketli ve yarı hareketli sistemlerin sadece 3. Basamak Hastanelerde (eğitim verme yetkisi olan klinik) uygulanması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“102.110” SUT kodlu “TORAKOLUMBAR, POSTERIOR MONOAXIAL VİDA, TİTANYUM, AÇIK CEMENT ENJEKTE EDİLEBİLİR (KİLİTLEME APARATI VE NUT DAHİL)” adlı malzemenin altındaki ödeme kriterleri ve/veya kurallarının birinci fıkrası ve son satırındaki hüküm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“I” vida olarak tanımlanan monoaxial ve polyaxialtorakolumbar posterior vidaların kullanılması halinde, vida ve konnektörünün (SUT eki Ek-3/E-1 Listesinde 102.350 veya 102.355 veya 102.360 sıra nolu ürünler) toplam fiyatı, torakolumbarposterior polyaxial vida (SUT eki Ek-5/E Listesinde 102.130 sıra nolu ürün) fiyatını geçemez.”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“olup bu endikasyonlarda uygulandığı hallerde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lastRenderedPageBreak/>
              <w:t>d) “102.126” SUT kodlu “TORAKOLUMBAR, POSTERIOR MONOAXIAL (I) VİDA, TİTANYUM, PEDİATRİK/YETİŞKİN (VİDA-ROD BAĞLANTI APARATI DAHİL)” adlı malzemenin altındaki ödeme kriterleri ve/veya kurallarının birinci fıkrası ve son satırındaki hüküm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“I” vida olarak tanımlanan monoaxial ve polyaxialtorakolumbar posterior vidaların kullanılması halinde, vida ve konnektörünün (SUT eki Ek-5/E Listesinde 102.350 veya 102.355 veya 102.360 sıra nolu ürünler) toplam fiyatı, torakolumbarposterior polyaxial vida (SUT eki Ek-5/E Listesinde 102.130 sıra nolu ürün) fiyatını geçemez.”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“olup, bu endikasyonlarda uygulandığı hallerde bedeli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“102.145” SUT kodlu “TORAKOLUMBAR, POSTERIOR POLYAXIAL VİDA, TİTANYUM, SPONDİLOLISTEZİS VİDASI/DİSTRAKSİYON–KOMPRESYON VİDASI/ÇEKTİRME VİDASI, PEDİATRİK/YETİŞKİN (KİLİTLEME APARATI VE NUT DAHİL)” adlı malzemenin altındaki ödeme kriterleri ve/veya kurallarının birinci fıkrası ve son satırındaki hüküm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“I” vida olarak tanımlanan monoaxial ve polyaxialtorakolumbar posterior vidaların kullanılması halinde, vida ve konnektörünün (SUT eki Ek-5/E Listesinde 102.350 veya 102.355 veya 102.360 sıra nolu ürünler) toplam fiyatı, torakolumbarposterior polyaxial vida (SUT eki Ek-5/E Listesinde 102.130 sıra nolu ürün) fiyatını geçemez.”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“olup, bu endikasyonlarda uygulandığı hallerde bedeli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f) “102.266” SUT kodlu “TORAKOLUMBAR POSTERİOR COCR ROD SKOLYOZ TEKLİ” adlı malzemenin altındaki ödeme kriterleri ve/veya kurallarının son satırındaki hüküm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“olup, bu endikasyonlarda uygulandığı hallerde bedeli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32 – </w:t>
            </w:r>
            <w:r w:rsidRPr="00DF7024">
              <w:rPr>
                <w:rFonts w:ascii="Times New Roman" w:eastAsia="ヒラギノ明朝 Pro W3" w:hAnsi="Times New Roman" w:cs="Times New Roman"/>
                <w:sz w:val="18"/>
                <w:szCs w:val="18"/>
              </w:rPr>
              <w:t>Aynı Tebliğ eki “BEYİN CERRAHİSİ BRANŞI KRANİAL CERRAHİSİ ALAN GRUBUNA AİT TIBBİ MALZEMELER” (EK-3/E2)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Listede yer alan “VAGAL SİNİR STİMÜLATÖRÜ:” başlığı altındaki satırdaki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3. Basamak Hastanelerde uygulanması halinde; Psikiyatri, Nöroloji (çocuk/erişkin) ve Beyin Cerrahisi uzman hekimleri tarafından düzenlenen heyet raporuna istinaden Kurumca bedeli karşılanır. Vagal sinir stimülatörleri aşağıdaki tüm şartları taşıması halinde uygulanır: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Hastanın yaşam kalitesini bozacak sıklık ve şekilde nöbetlerinin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Nöbet tipine uygun bütün antiepileptikleri kullanmış olması ve hâlihazırda en az ikili majorantiepileptik ajanı 2 (iki) yıldır kullanıyor ve bunlara cevap alınamıyor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Daha önce epileptik cerrahi uygulanıp yanıt alınamamış ya da epileptik cerrahi uygulanamaz durumda olması.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Epilepsi nedeninin malign beyin tümörü, nörometabolik ya da nörodejeneratif hastalık olmaması.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Hastaların zekâ düzeyi ağır derecede geri olmamalı.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Hamile olmaması.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f) Sistemik kronik hastalık olmaması (astım, aktif peptik ulcus, kr. akciğer hastalığı, koroner kalp hastalığı, kr. böbrek hastalığı, kr. karaciğer hastalığı, diabetes mellitus ve benzeri hastalıklar)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g) Nöroloji ve/veya Çocuk Nörolojisi, Beyin Cerrahisi ve Psikiyatri uzman hekimleri tarafından oluşan bir komisyon kurulması ve hastaların komisyonca aşağıdaki belgelerle birlikte değerlendirilmesi gerekmektedir. Komisyon değerlendirilmesinde istenecek belgeler: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Uzun çekimli video-EEG kayıtlar,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Hastanın daha önce kullandığı antiepileptik tedavi; doz, ilaç-kan seviyesi, nöbet sayısı ve şekli ile ilgili bilgilerin dokümante edildiği ayrıntılı epikriz (epikriz hasta takibini yapan nörolog ya da çocuk nörolog tarafından hazırlanmış ve imzalanmış olmalıdır),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Nöroradyolojik görüntüleme tetkiklerinin aslı,</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 Psikolog tarafından düzenlenmiş zeka düzeyini gösteren belge.”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Listede yer alan “KN1007” SUT kodlu ve “KRANİYAL MİNİ LEVHA TİTANYUM DÜZ PLAK” adlı tıbbi malzemenin altındaki satırdaki ödeme kriterleri ve/veya kurallarının sonuna gelmek üzere “kullanılması halinde Kurumca bedeli karşılanır.” ibaresi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33 – </w:t>
            </w:r>
            <w:r w:rsidRPr="00DF7024">
              <w:rPr>
                <w:rFonts w:ascii="Times New Roman" w:eastAsia="ヒラギノ明朝 Pro W3" w:hAnsi="Times New Roman" w:cs="Times New Roman"/>
                <w:sz w:val="18"/>
                <w:szCs w:val="18"/>
              </w:rPr>
              <w:t>Aynı Tebliğ eki “ORTOPEDİ VE TRAVMATOLOJİ BRANŞI ARTROPLASTİ ALAN GRUBUNA AİT TIBBİ MALZEMELER” (EK-3/F-1)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Listenin en altında yer alan “GENEL HÜKÜMLER” başlığı altındaki hükümlerin yedinci fıkrasının sonuna gelmek üzere “karşılanır.” ibaresi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34 –</w:t>
            </w:r>
            <w:r w:rsidRPr="00DF7024">
              <w:rPr>
                <w:rFonts w:ascii="Times New Roman" w:eastAsia="ヒラギノ明朝 Pro W3" w:hAnsi="Times New Roman" w:cs="Times New Roman"/>
                <w:sz w:val="18"/>
                <w:szCs w:val="18"/>
              </w:rPr>
              <w:t xml:space="preserve"> Aynı Tebliğ eki “KARDİYOLOJİ BRANŞINA AİT TIBBİ MALZEMELER” (EK-3/H)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“KR1202” SUT kodlu “MİTRAL HALKA (ANULUS) DARALTMA SİSTEMLERİ” adlı malzemenin altındaki ödeme kriterleri ve/veya kurallarında yer alan “3. basamak hastanelerinde” ifadesi, “3. basamak Sağlık Bakanlığı Hastaneleri veya 3. basamak TSK Hastanelerinde”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b) “KR1161” SUT kodlu “STENT, VASKÜLER, KAROTİS, KENDİLİĞİNDEN AÇILAN, ÇELİK / NİTİNOL / DİSTAL İNCELEN MONORAİL” adlı malzemenin altındaki ödeme kriterleri ve/veya kuralları aşağıdaki </w:t>
            </w:r>
            <w:r w:rsidRPr="00DF7024">
              <w:rPr>
                <w:rFonts w:ascii="Times New Roman" w:eastAsia="ヒラギノ明朝 Pro W3" w:hAnsi="Times New Roman" w:cs="Times New Roman"/>
                <w:sz w:val="18"/>
                <w:szCs w:val="18"/>
              </w:rPr>
              <w:lastRenderedPageBreak/>
              <w:t>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3. basamak hastanelerde Kardiyoloji Uzmanı ile KVC veya Beyin Cerrahisi Uzmanları tarafından düzenlenen sağlık kurulu raporu ile stent uygulanma endikasyonununepikrizde ayrıntılı olarak belirtilmesi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“KR1152” SUT kodlu “STENT, KORONER, BALONA MONTE EDİLMİŞ GRAFT STENT” adlı malzemenin altındaki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Koroner perforasyon ve koroner anevrizmada kullanıldığının belirtildiği ve epikrizde 2 (iki) Kardiyoloji uzmanının imzasının olması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“KR2021” SUT kodlu “TRANSKATETER AORTİK KAPAK BALON EXPANDABLE (BALON SHEAT, TAŞIYICI SİSTEM BİRLİKTE) SET” adlı malzemenin altındaki ödeme kriterleri ve/veya kurallarının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Konvansiyonel cerrahi yöntemlerle Kalp ve Damar Cerrahisi uzmanı tarafından inoperable veya yüksek riskli olarak değerlendirilen semptomatik ciddi kalsifik aort kapak darlığı hastalarında 2 (iki) Kardiyoloji, 2 (iki) Kalp Damar Cerrahisi, 1 (bir) Anestezi Reanimasyon uzmanının onayının bulunduğu konsey kararı ile bir yılda 2000 kardiyak girişimsel işlem (en az 300 tedavi amaçlı girişim) ve 250 açık kalp cerrahisi yapılan 3. basamak hastanelerde kullanılması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“STENTGREFT, AORTİK, ABDOMİNAL” başlığı altında yer alan ödeme kriterleri ve/veya kurallarının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Yılda 250 adet tanısal anjiyografi veya işlem yapılan merkezlerde; 2 (iki) Kardiyoloji uzmanı ile Radyoloji veya KVC uzmanının olduğu konsey kararı ile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35 –</w:t>
            </w:r>
            <w:r w:rsidRPr="00DF7024">
              <w:rPr>
                <w:rFonts w:ascii="Times New Roman" w:eastAsia="ヒラギノ明朝 Pro W3" w:hAnsi="Times New Roman" w:cs="Times New Roman"/>
                <w:sz w:val="18"/>
                <w:szCs w:val="18"/>
              </w:rPr>
              <w:t xml:space="preserve"> Aynı Tebliğ ekinde yer alan ve “KALP KAPAKLARI VE RİNGLERİ” ibaresi ile başlayan listede (EK-3/I)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 adı olarak “KALP DAMAR CERRAHİSİ BRANŞINA AİT TIBBİ MALZEMELER (EK-3/I)” ibaresi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“KV2000” SUT kodlu “TRANSKATETER MİTRAL KAPAK MANDAL VE TAŞIMA SİSTEMİ” adlı malzemenin altındaki ödeme kriterleri ve/veya kurallarında yer alan “3. basamak hastanelerde” ifadesi, “3. basamak Sağlık Bakanlığı Hastaneleri veya 3. basamak TSK Hastanelerinde”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“KV2001” SUT kodlu “MİTRAL HALKA (ANULUS) DARALTMA SİSTEMLERİ” adlı malzemenin altındaki ödeme kriterleri ve/veya kurallarında yer alan “3. basamak hastanelerinde” ifadesi, “3. basamak Sağlık Bakanlığı Hastaneleri veya 3. basamak TSK Hastanelerinde”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“KV1168” SUT kodlu “STENT, VASKÜLER, KAROTİS, KENDİLİĞİNDEN AÇILAN, ÇELİK/NİTİNOL/DİSTAL İNCELEN MONORAİL” adlı malzemenin altındaki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3.basamak hastanelerde KVC Uzmanı ile Kardiyoloji veya Nöroloji veya Radyoloji Uzmanları tarafından düzenlenen sağlık kurulu raporu ile stent uygulama endikasyonununepikrizde ayrıntılı olarak belirtilmesi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“STENTGREFT, AORTİK, ABDOMİNAL” başlığı altında yer alan ödeme kriterleri ve/veya kurallarının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Yılda 250 adet tanısal anjiyografi veya işlem yapılan merkezlerde; 2 (iki) KVC uzmanı ile birlikte Radyoloji veya Kardiyoloji uzmanının olduğu konsey kararı ile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“STENTGREFT, HASTAYA ÖZEL” başlığı altında yer alan ödeme kriterleri ve/veya kurallarının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Yılda 250 adet tanısal anjiyografi veya işlem yapılan 3.basamak hastanelerde; 2 (iki) KVC uzmanı ile birlikte Radyoloji veya Kardiyoloji uzmanının olduğu konsey kararı ile kompleks anatomiye sahip aortik visseral dalları içeren aort anevrizmalarının tedavisinde, klasik cerrahi ve EVAR, TEVAR uygulamalarının kontrendike ya da yüksek riskli olduğu durumlarda (organ malperfüzyonu ve buna bağlı komplikasyonları önleyebilmek için) kullanılması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36 – </w:t>
            </w:r>
            <w:r w:rsidRPr="00DF7024">
              <w:rPr>
                <w:rFonts w:ascii="Times New Roman" w:eastAsia="ヒラギノ明朝 Pro W3" w:hAnsi="Times New Roman" w:cs="Times New Roman"/>
                <w:sz w:val="18"/>
                <w:szCs w:val="18"/>
              </w:rPr>
              <w:t>Aynı Tebliğ eki “KULAK BURUN BOĞAZ BRANŞINA AİT TIBBİ MALZEMELER” (EK-3/J) listesinde KOKLEAR İMPLANT başlığı altındaki açıklama bölümünde yer alan “A) Koklear implant (Kİ)” alt başlığında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Birinci fıkrasının “e”, “f” ve “g” bentleri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“e) İşitsel nöropati tanısı alan ve en az 6 (altı) ay süreyle işitme rehabilitasyonu ve eğitiminden fayda görmediği odyolojik test bataryası ile belgelendirilmesi halinde yapılır.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f) İkinci kulağa Kİ uygulanması; menenjit sonrası ileri derecede sensörinöral işitme kayıplarında, ileri işitme kaybı yanında bilateral körlük olduğunda, corpus callosum agenezisine eşlik eden ileri derecede işitme kayıplarında eşzamanlı veya ardışık çift taraflı Kİ uygulanabilir.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 xml:space="preserve">g) Kİ uygulaması sonrası gelişen enfeksiyon nedeniyle koklear implantın işlevselliğini yitirmesi durumunda, bu durumun aynı resmi sağlık kurumunda çalışan 3 (üç) Kulak Burun Boğaz uzman hekimi tarafından düzenlenen </w:t>
            </w:r>
            <w:r w:rsidRPr="00DF7024">
              <w:rPr>
                <w:rFonts w:ascii="Times New Roman" w:eastAsia="ヒラギノ明朝 Pro W3" w:hAnsi="Times New Roman" w:cs="Times New Roman"/>
                <w:sz w:val="18"/>
                <w:szCs w:val="18"/>
              </w:rPr>
              <w:lastRenderedPageBreak/>
              <w:t>sağlık kurulu raporu ile belgelendirilmesi halinde yeniden planlanan implantasyon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İkinci fıkrasının “a”, “b” ve “c” bentleri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2 (iki) yaş üstü çocuklarda ve erişkinlerde 500, 1000, 2000 ve 4000 Hz’lerdeki işitme eşikleri ortalamasının 80 dB’den daha kötü olması ve konuşmayı ayırt etme testi yapılabilen hastalarda konuşmayı ayırt etme skorunun %30’un altında olması gereklidir. En az 3 (üç) aylık süre ile binaural işitme cihazı kullanımından fayda görmediği sağlık kurulu raporunda belirtilmelidir.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2 (iki) yaş altı çocuklarda, bilateral 90 dB HL’den daha fazla sensörinöral işitme kaybı olması ve en az 3 (üç) aylık süre ile binaural işitme cihazı kullanımından fayda görmediği sağlık kurulu raporunda belirtilmelidir.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Saf ses ortalaması (500, 1000, 2000 ve 4000 Hz) bir kulakta 70 dB ve daha kötü, karşı kulakta 90 dB ve daha kötü olan ve konuşmayı ayırt etme skorunun %30’un altında kaldığı hastalarda kötü kulağa Kİ yapılabilir.”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Beşinci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 Elektroakustik uygulama: 1000 Hz ve altındaki frekanslarda işitme eşiklerinin 50 dB ve daha iyi, 1000 Hz’den yüksek frekanslarda 80 dB ve daha kötü olması ve konuşmayı ayırt etme skorunun %30’dan kötü olması durumunda uygulanır. Elektroakustik uygulamanın Kurumca bedelinin ödenmesi için son 2 (iki) yıl işitme eşiklerinin stabil olduğu belirtilmelidir.”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37 – </w:t>
            </w:r>
            <w:r w:rsidRPr="00DF7024">
              <w:rPr>
                <w:rFonts w:ascii="Times New Roman" w:eastAsia="ヒラギノ明朝 Pro W3" w:hAnsi="Times New Roman" w:cs="Times New Roman"/>
                <w:sz w:val="18"/>
                <w:szCs w:val="18"/>
              </w:rPr>
              <w:t>Aynı Tebliğ eki “ÜROLOJİ BRANŞINA AİT TIBBİ MALZEMELER” (EK-3/L)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Listede yer alan “SAKRAL SİNİR STİMÜLATÖRLERİ VE AKSESUARLARI” başlığından sonraki satırdaki ödeme kriterleri ve/veya kurallarının üçüncü fıkrasının “b” bendinin “1” numaralı alt bendi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Antimuskarinik ve intradetrüsör botulinum toksin enjeksiyonu tedavisine cevap vermeyen ve en az 2 (iki) yıldır izlemde olan hastalarda uygulanabilir.”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Listede yer alan “ENJEKSİYON ÜRÜNLERİ” başlığından sonraki satırdaki ödeme kriterleri ve/veya kurallarının “C) Prostat cerrahisi sonrası inkontinansta kullanılan enjeksiyon dolgu materyalleri” alt başlığının birinci fıkrası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Ürodinami ve sistoskopi sonuçlarına göre başka patalojilere bağlı olmayan sadece sfinkterik yetersizlik olduğu tespit edilen hastalarda kullanılması halinde bedeli Kurumca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Listeden çıkarılan tıbbi malzemeler bu Tebliğ eki (6) numaralı listede belirtilmiştir.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38 –</w:t>
            </w:r>
            <w:r w:rsidRPr="00DF7024">
              <w:rPr>
                <w:rFonts w:ascii="Times New Roman" w:eastAsia="ヒラギノ明朝 Pro W3" w:hAnsi="Times New Roman" w:cs="Times New Roman"/>
                <w:sz w:val="18"/>
                <w:szCs w:val="18"/>
              </w:rPr>
              <w:t xml:space="preserve"> Aynı Tebliğ eki “RADYOLOJİ BRANŞI VE ENDOVASKÜLER/NONVASKÜLER GİRİŞİMSEL İŞLEMLERE AİT TIBBİ MALZEMELER” (EK-3/M)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“GR1136” SUT kodlu “STENT, VASKÜLER, KAROTİS, KENDİLİĞİNDEN AÇILAN, ÇELİK / NİTİNOL / DİSTAL İNCELEN MONORAİL” adlı malzemenin altındaki ödeme kriterleri ve/veya kuralları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“(1) 3. basamak hastanelerde Radyoloji Uzmanı ile Beyin Cerrahisi veya KVC Uzmanları tarafından düzenlenen sağlık kurulu raporu ile stent uygulanma endikasyonunepikrizde ayrıntılı olarak belirtilmesi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 3. basamak hastanelerde Nöroloji Uzmanı ile Beyin Cerrahisi veya KVC Uzmanları tarafından düzenlenen sağlık kurulu raporu ile stent uygulanma endikasyonunepikrizde ayrıntılı olarak belirtilmesi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(3) 3. basamak hastanelerde Beyin Cerrahisi Uzmanı ile Nöroloji veya Kardiyoloji veya Radyoloji Uzmanları tarafından düzenlenen sağlık kurulu raporu ile stent uygulanma endikasyonun epikrizde ayrıntılı olarak belirtilmesi halinde Kurumca bedeli karşılanır.”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“GR2037” SUT kodlu tıbbi malzemenin adı “STENT, VASKÜLER, GREFT KAPLI, PTFE'Lİ, İLAÇ BAĞLI VEYA KAPLAMALI KENDİLİĞİNDEN AÇILAN, NİTİNOL, KISA (5CM VE ALTI)”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39 –</w:t>
            </w:r>
            <w:r w:rsidRPr="00DF7024">
              <w:rPr>
                <w:rFonts w:ascii="Times New Roman" w:eastAsia="ヒラギノ明朝 Pro W3" w:hAnsi="Times New Roman" w:cs="Times New Roman"/>
                <w:sz w:val="18"/>
                <w:szCs w:val="18"/>
              </w:rPr>
              <w:t xml:space="preserve"> Aynı Tebliğ eki “ALLOGREFT ÜRÜN GRUBU” (EK-3/N1)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Listede yer alan “ÖZEL BİÇİMLENDİRİLMİŞ, PERICARDLAR (DURA)” başlığı “ÖZEL BİÇİMLENDİRİLMİŞ, PERICARDLAR, DURA”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Listede yer alan “AG1095” SUT kodu ile “AG1112” SUT kodu arasındaki tıbbi malzemelerin tıbbi malzeme alan tanımları “ÖZEL BİÇİMLENDİRİLMİŞ, PERICARDLAR, DURA” olarak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40 –</w:t>
            </w:r>
            <w:r w:rsidRPr="00DF7024">
              <w:rPr>
                <w:rFonts w:ascii="Times New Roman" w:eastAsia="ヒラギノ明朝 Pro W3" w:hAnsi="Times New Roman" w:cs="Times New Roman"/>
                <w:sz w:val="18"/>
                <w:szCs w:val="18"/>
              </w:rPr>
              <w:t xml:space="preserve"> Aynı Tebliğin eki Sistemik Antimikrobik ve Diğer İlaçların Reçeteleme Kuralları (Ek-4/E) listesinde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“Betalaktam Antibiyotikler” başlıklı (1) numaralı maddesinin B bendinin “2.Kuşak Sefalosporinler” alt maddesine 1.1 numaralı satır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4583"/>
              <w:gridCol w:w="3330"/>
            </w:tblGrid>
            <w:tr w:rsidR="00DF7024" w:rsidRPr="00DF7024">
              <w:trPr>
                <w:cantSplit/>
                <w:trHeight w:val="20"/>
                <w:jc w:val="center"/>
              </w:trPr>
              <w:tc>
                <w:tcPr>
                  <w:tcW w:w="595" w:type="dxa"/>
                  <w:tcBorders>
                    <w:top w:val="single" w:sz="4" w:space="0" w:color="auto"/>
                    <w:left w:val="single" w:sz="4" w:space="0" w:color="auto"/>
                    <w:bottom w:val="single" w:sz="4" w:space="0" w:color="auto"/>
                    <w:right w:val="single" w:sz="4" w:space="0" w:color="auto"/>
                  </w:tcBorders>
                  <w:vAlign w:val="center"/>
                  <w:hideMark/>
                </w:tcPr>
                <w:p w:rsidR="00DF7024" w:rsidRPr="00DF7024" w:rsidRDefault="00DF7024" w:rsidP="00DF7024">
                  <w:pPr>
                    <w:spacing w:after="0" w:line="20" w:lineRule="atLeast"/>
                    <w:jc w:val="both"/>
                    <w:rPr>
                      <w:rFonts w:ascii="Times New Roman" w:eastAsia="Times New Roman" w:hAnsi="Times New Roman" w:cs="Times New Roman"/>
                      <w:b/>
                      <w:sz w:val="18"/>
                      <w:szCs w:val="18"/>
                      <w:lang w:eastAsia="tr-TR"/>
                    </w:rPr>
                  </w:pPr>
                  <w:r w:rsidRPr="00DF7024">
                    <w:rPr>
                      <w:rFonts w:ascii="Times New Roman" w:eastAsia="Times New Roman" w:hAnsi="Times New Roman" w:cs="Times New Roman"/>
                      <w:sz w:val="18"/>
                      <w:szCs w:val="18"/>
                      <w:lang w:eastAsia="tr-TR"/>
                    </w:rPr>
                    <w:t>11.1</w:t>
                  </w:r>
                </w:p>
              </w:tc>
              <w:tc>
                <w:tcPr>
                  <w:tcW w:w="4757" w:type="dxa"/>
                  <w:tcBorders>
                    <w:top w:val="single" w:sz="4" w:space="0" w:color="auto"/>
                    <w:left w:val="single" w:sz="4" w:space="0" w:color="auto"/>
                    <w:bottom w:val="single" w:sz="4" w:space="0" w:color="auto"/>
                    <w:right w:val="single" w:sz="4" w:space="0" w:color="auto"/>
                  </w:tcBorders>
                  <w:vAlign w:val="center"/>
                  <w:hideMark/>
                </w:tcPr>
                <w:p w:rsidR="00DF7024" w:rsidRPr="00DF7024" w:rsidRDefault="00DF7024" w:rsidP="00DF7024">
                  <w:pPr>
                    <w:spacing w:after="0" w:line="20" w:lineRule="atLeast"/>
                    <w:jc w:val="both"/>
                    <w:rPr>
                      <w:rFonts w:ascii="Times New Roman" w:eastAsia="Times New Roman" w:hAnsi="Times New Roman" w:cs="Times New Roman"/>
                      <w:sz w:val="18"/>
                      <w:szCs w:val="18"/>
                      <w:lang w:eastAsia="tr-TR"/>
                    </w:rPr>
                  </w:pPr>
                  <w:r w:rsidRPr="00DF7024">
                    <w:rPr>
                      <w:rFonts w:ascii="Times New Roman" w:eastAsia="Times New Roman" w:hAnsi="Times New Roman" w:cs="Times New Roman"/>
                      <w:sz w:val="18"/>
                      <w:szCs w:val="18"/>
                      <w:lang w:eastAsia="tr-TR"/>
                    </w:rPr>
                    <w:t>Sefaklor-Klavulanat (Oral)</w:t>
                  </w:r>
                </w:p>
              </w:tc>
              <w:tc>
                <w:tcPr>
                  <w:tcW w:w="3468" w:type="dxa"/>
                  <w:tcBorders>
                    <w:top w:val="single" w:sz="4" w:space="0" w:color="auto"/>
                    <w:left w:val="single" w:sz="4" w:space="0" w:color="auto"/>
                    <w:bottom w:val="single" w:sz="4" w:space="0" w:color="auto"/>
                    <w:right w:val="single" w:sz="4" w:space="0" w:color="auto"/>
                  </w:tcBorders>
                  <w:vAlign w:val="center"/>
                  <w:hideMark/>
                </w:tcPr>
                <w:p w:rsidR="00DF7024" w:rsidRPr="00DF7024" w:rsidRDefault="00DF7024" w:rsidP="00DF7024">
                  <w:pPr>
                    <w:spacing w:after="0" w:line="20" w:lineRule="atLeast"/>
                    <w:jc w:val="both"/>
                    <w:rPr>
                      <w:rFonts w:ascii="Times New Roman" w:eastAsia="Times New Roman" w:hAnsi="Times New Roman" w:cs="Times New Roman"/>
                      <w:sz w:val="18"/>
                      <w:szCs w:val="18"/>
                      <w:lang w:eastAsia="tr-TR"/>
                    </w:rPr>
                  </w:pPr>
                  <w:r w:rsidRPr="00DF7024">
                    <w:rPr>
                      <w:rFonts w:ascii="Times New Roman" w:eastAsia="Times New Roman" w:hAnsi="Times New Roman" w:cs="Times New Roman"/>
                      <w:sz w:val="18"/>
                      <w:szCs w:val="18"/>
                      <w:lang w:eastAsia="tr-TR"/>
                    </w:rPr>
                    <w:t>KY</w:t>
                  </w:r>
                </w:p>
              </w:tc>
            </w:tr>
          </w:tbl>
          <w:p w:rsidR="00DF7024" w:rsidRPr="00DF7024" w:rsidRDefault="00DF7024" w:rsidP="00DF7024">
            <w:pPr>
              <w:tabs>
                <w:tab w:val="left" w:pos="566"/>
              </w:tabs>
              <w:spacing w:after="0" w:line="240" w:lineRule="exact"/>
              <w:jc w:val="center"/>
              <w:rPr>
                <w:rFonts w:ascii="Times New Roman" w:eastAsia="ヒラギノ明朝 Pro W3" w:hAnsi="Times New Roman" w:cs="Times New Roman"/>
                <w:sz w:val="18"/>
                <w:szCs w:val="18"/>
              </w:rPr>
            </w:pP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lastRenderedPageBreak/>
              <w:t>b) “Betalaktam Antibiyotikler” başlıklı (1) numaralı maddesinin B bendinin “3.Kuşak Sefalosporinler” alt maddesine 12.1 numaralı satır eklenmiştir.</w:t>
            </w:r>
          </w:p>
          <w:p w:rsidR="00DF7024" w:rsidRPr="00DF7024" w:rsidRDefault="00DF7024" w:rsidP="00DF7024">
            <w:pPr>
              <w:tabs>
                <w:tab w:val="left" w:pos="566"/>
              </w:tabs>
              <w:spacing w:after="0" w:line="240" w:lineRule="exact"/>
              <w:jc w:val="center"/>
              <w:rPr>
                <w:rFonts w:ascii="Times New Roman" w:eastAsia="ヒラギノ明朝 Pro W3" w:hAnsi="Times New Roman" w:cs="Times New Roman"/>
                <w:sz w:val="18"/>
                <w:szCs w:val="18"/>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4560"/>
              <w:gridCol w:w="3314"/>
            </w:tblGrid>
            <w:tr w:rsidR="00DF7024" w:rsidRPr="00DF7024">
              <w:trPr>
                <w:cantSplit/>
                <w:trHeight w:val="20"/>
                <w:jc w:val="center"/>
              </w:trPr>
              <w:tc>
                <w:tcPr>
                  <w:tcW w:w="636" w:type="dxa"/>
                  <w:tcBorders>
                    <w:top w:val="single" w:sz="4" w:space="0" w:color="auto"/>
                    <w:left w:val="single" w:sz="4" w:space="0" w:color="auto"/>
                    <w:bottom w:val="single" w:sz="4" w:space="0" w:color="auto"/>
                    <w:right w:val="single" w:sz="4" w:space="0" w:color="auto"/>
                  </w:tcBorders>
                  <w:vAlign w:val="center"/>
                  <w:hideMark/>
                </w:tcPr>
                <w:p w:rsidR="00DF7024" w:rsidRPr="00DF7024" w:rsidRDefault="00DF7024" w:rsidP="00DF7024">
                  <w:pPr>
                    <w:spacing w:after="0" w:line="20" w:lineRule="atLeast"/>
                    <w:jc w:val="both"/>
                    <w:rPr>
                      <w:rFonts w:ascii="Times New Roman" w:eastAsia="Times New Roman" w:hAnsi="Times New Roman" w:cs="Times New Roman"/>
                      <w:sz w:val="18"/>
                      <w:szCs w:val="18"/>
                      <w:lang w:eastAsia="tr-TR"/>
                    </w:rPr>
                  </w:pPr>
                  <w:r w:rsidRPr="00DF7024">
                    <w:rPr>
                      <w:rFonts w:ascii="Times New Roman" w:eastAsia="Times New Roman" w:hAnsi="Times New Roman" w:cs="Times New Roman"/>
                      <w:sz w:val="18"/>
                      <w:szCs w:val="18"/>
                      <w:lang w:eastAsia="tr-TR"/>
                    </w:rPr>
                    <w:t>12.1</w:t>
                  </w:r>
                </w:p>
              </w:tc>
              <w:tc>
                <w:tcPr>
                  <w:tcW w:w="4734" w:type="dxa"/>
                  <w:tcBorders>
                    <w:top w:val="single" w:sz="4" w:space="0" w:color="auto"/>
                    <w:left w:val="single" w:sz="4" w:space="0" w:color="auto"/>
                    <w:bottom w:val="single" w:sz="4" w:space="0" w:color="auto"/>
                    <w:right w:val="single" w:sz="4" w:space="0" w:color="auto"/>
                  </w:tcBorders>
                  <w:vAlign w:val="center"/>
                  <w:hideMark/>
                </w:tcPr>
                <w:p w:rsidR="00DF7024" w:rsidRPr="00DF7024" w:rsidRDefault="00DF7024" w:rsidP="00DF7024">
                  <w:pPr>
                    <w:spacing w:after="0" w:line="20" w:lineRule="atLeast"/>
                    <w:jc w:val="both"/>
                    <w:rPr>
                      <w:rFonts w:ascii="Times New Roman" w:eastAsia="Times New Roman" w:hAnsi="Times New Roman" w:cs="Times New Roman"/>
                      <w:sz w:val="18"/>
                      <w:szCs w:val="18"/>
                      <w:lang w:eastAsia="tr-TR"/>
                    </w:rPr>
                  </w:pPr>
                  <w:r w:rsidRPr="00DF7024">
                    <w:rPr>
                      <w:rFonts w:ascii="Times New Roman" w:eastAsia="Times New Roman" w:hAnsi="Times New Roman" w:cs="Times New Roman"/>
                      <w:sz w:val="18"/>
                      <w:szCs w:val="18"/>
                      <w:lang w:eastAsia="tr-TR"/>
                    </w:rPr>
                    <w:t>Seftibuten-Klavulanat (Oral)</w:t>
                  </w:r>
                </w:p>
              </w:tc>
              <w:tc>
                <w:tcPr>
                  <w:tcW w:w="3450" w:type="dxa"/>
                  <w:tcBorders>
                    <w:top w:val="single" w:sz="4" w:space="0" w:color="auto"/>
                    <w:left w:val="single" w:sz="4" w:space="0" w:color="auto"/>
                    <w:bottom w:val="single" w:sz="4" w:space="0" w:color="auto"/>
                    <w:right w:val="single" w:sz="4" w:space="0" w:color="auto"/>
                  </w:tcBorders>
                  <w:vAlign w:val="center"/>
                  <w:hideMark/>
                </w:tcPr>
                <w:p w:rsidR="00DF7024" w:rsidRPr="00DF7024" w:rsidRDefault="00DF7024" w:rsidP="00DF7024">
                  <w:pPr>
                    <w:spacing w:after="0" w:line="20" w:lineRule="atLeast"/>
                    <w:jc w:val="both"/>
                    <w:rPr>
                      <w:rFonts w:ascii="Times New Roman" w:eastAsia="Times New Roman" w:hAnsi="Times New Roman" w:cs="Times New Roman"/>
                      <w:sz w:val="18"/>
                      <w:szCs w:val="18"/>
                      <w:lang w:eastAsia="tr-TR"/>
                    </w:rPr>
                  </w:pPr>
                  <w:r w:rsidRPr="00DF7024">
                    <w:rPr>
                      <w:rFonts w:ascii="Times New Roman" w:eastAsia="Times New Roman" w:hAnsi="Times New Roman" w:cs="Times New Roman"/>
                      <w:sz w:val="18"/>
                      <w:szCs w:val="18"/>
                      <w:lang w:eastAsia="tr-TR"/>
                    </w:rPr>
                    <w:t>UH-P</w:t>
                  </w:r>
                </w:p>
              </w:tc>
            </w:tr>
          </w:tbl>
          <w:p w:rsidR="00DF7024" w:rsidRPr="00DF7024" w:rsidRDefault="00DF7024" w:rsidP="00DF7024">
            <w:pPr>
              <w:tabs>
                <w:tab w:val="left" w:pos="566"/>
              </w:tabs>
              <w:spacing w:after="0" w:line="240" w:lineRule="exact"/>
              <w:jc w:val="center"/>
              <w:rPr>
                <w:rFonts w:ascii="Times New Roman" w:eastAsia="ヒラギノ明朝 Pro W3" w:hAnsi="Times New Roman" w:cs="Times New Roman"/>
                <w:sz w:val="18"/>
                <w:szCs w:val="18"/>
              </w:rPr>
            </w:pP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"Antiviralİlaçlar" başlıklı (11) numaralı maddesinin “A) HIV/AIDS Tedavisinde Kullanılan Spesifik İlaçlar” bendine 14 numaralı satır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66"/>
              <w:gridCol w:w="3350"/>
            </w:tblGrid>
            <w:tr w:rsidR="00DF7024" w:rsidRPr="00DF7024">
              <w:trPr>
                <w:cantSplit/>
                <w:trHeight w:val="20"/>
                <w:jc w:val="center"/>
              </w:trPr>
              <w:tc>
                <w:tcPr>
                  <w:tcW w:w="595" w:type="dxa"/>
                  <w:tcBorders>
                    <w:top w:val="single" w:sz="4" w:space="0" w:color="auto"/>
                    <w:left w:val="single" w:sz="4" w:space="0" w:color="auto"/>
                    <w:bottom w:val="single" w:sz="4" w:space="0" w:color="auto"/>
                    <w:right w:val="single" w:sz="4" w:space="0" w:color="auto"/>
                  </w:tcBorders>
                  <w:vAlign w:val="center"/>
                  <w:hideMark/>
                </w:tcPr>
                <w:p w:rsidR="00DF7024" w:rsidRPr="00DF7024" w:rsidRDefault="00DF7024" w:rsidP="00DF7024">
                  <w:pPr>
                    <w:spacing w:after="0" w:line="20" w:lineRule="atLeast"/>
                    <w:jc w:val="both"/>
                    <w:rPr>
                      <w:rFonts w:ascii="Times New Roman" w:eastAsia="Times New Roman" w:hAnsi="Times New Roman" w:cs="Times New Roman"/>
                      <w:b/>
                      <w:sz w:val="18"/>
                      <w:szCs w:val="18"/>
                      <w:lang w:eastAsia="tr-TR"/>
                    </w:rPr>
                  </w:pPr>
                  <w:r w:rsidRPr="00DF7024">
                    <w:rPr>
                      <w:rFonts w:ascii="Times New Roman" w:eastAsia="Times New Roman" w:hAnsi="Times New Roman" w:cs="Times New Roman"/>
                      <w:sz w:val="18"/>
                      <w:szCs w:val="18"/>
                      <w:lang w:eastAsia="tr-TR"/>
                    </w:rPr>
                    <w:t>114</w:t>
                  </w:r>
                </w:p>
              </w:tc>
              <w:tc>
                <w:tcPr>
                  <w:tcW w:w="4757" w:type="dxa"/>
                  <w:tcBorders>
                    <w:top w:val="single" w:sz="4" w:space="0" w:color="auto"/>
                    <w:left w:val="single" w:sz="4" w:space="0" w:color="auto"/>
                    <w:bottom w:val="single" w:sz="4" w:space="0" w:color="auto"/>
                    <w:right w:val="single" w:sz="4" w:space="0" w:color="auto"/>
                  </w:tcBorders>
                  <w:vAlign w:val="center"/>
                  <w:hideMark/>
                </w:tcPr>
                <w:p w:rsidR="00DF7024" w:rsidRPr="00DF7024" w:rsidRDefault="00DF7024" w:rsidP="00DF7024">
                  <w:pPr>
                    <w:spacing w:after="0" w:line="20" w:lineRule="atLeast"/>
                    <w:jc w:val="both"/>
                    <w:rPr>
                      <w:rFonts w:ascii="Times New Roman" w:eastAsia="Times New Roman" w:hAnsi="Times New Roman" w:cs="Times New Roman"/>
                      <w:sz w:val="18"/>
                      <w:szCs w:val="18"/>
                      <w:lang w:eastAsia="tr-TR"/>
                    </w:rPr>
                  </w:pPr>
                  <w:r w:rsidRPr="00DF7024">
                    <w:rPr>
                      <w:rFonts w:ascii="Times New Roman" w:eastAsia="Times New Roman" w:hAnsi="Times New Roman" w:cs="Times New Roman"/>
                      <w:sz w:val="18"/>
                      <w:szCs w:val="18"/>
                      <w:lang w:eastAsia="tr-TR"/>
                    </w:rPr>
                    <w:t>Raltegravir</w:t>
                  </w:r>
                </w:p>
              </w:tc>
              <w:tc>
                <w:tcPr>
                  <w:tcW w:w="3468" w:type="dxa"/>
                  <w:tcBorders>
                    <w:top w:val="single" w:sz="4" w:space="0" w:color="auto"/>
                    <w:left w:val="single" w:sz="4" w:space="0" w:color="auto"/>
                    <w:bottom w:val="single" w:sz="4" w:space="0" w:color="auto"/>
                    <w:right w:val="single" w:sz="4" w:space="0" w:color="auto"/>
                  </w:tcBorders>
                  <w:vAlign w:val="center"/>
                  <w:hideMark/>
                </w:tcPr>
                <w:p w:rsidR="00DF7024" w:rsidRPr="00DF7024" w:rsidRDefault="00DF7024" w:rsidP="00DF7024">
                  <w:pPr>
                    <w:spacing w:after="0" w:line="20" w:lineRule="atLeast"/>
                    <w:jc w:val="both"/>
                    <w:rPr>
                      <w:rFonts w:ascii="Times New Roman" w:eastAsia="Times New Roman" w:hAnsi="Times New Roman" w:cs="Times New Roman"/>
                      <w:sz w:val="18"/>
                      <w:szCs w:val="18"/>
                      <w:lang w:eastAsia="tr-TR"/>
                    </w:rPr>
                  </w:pPr>
                  <w:r w:rsidRPr="00DF7024">
                    <w:rPr>
                      <w:rFonts w:ascii="Times New Roman" w:eastAsia="Times New Roman" w:hAnsi="Times New Roman" w:cs="Times New Roman"/>
                      <w:sz w:val="18"/>
                      <w:szCs w:val="18"/>
                      <w:lang w:eastAsia="tr-TR"/>
                    </w:rPr>
                    <w:t>EHU; antiretroviral tedavi altındayken direnç gelişen/yanıt alınamayan hastalarda kombine olarak</w:t>
                  </w:r>
                </w:p>
              </w:tc>
            </w:tr>
          </w:tbl>
          <w:p w:rsidR="00DF7024" w:rsidRPr="00DF7024" w:rsidRDefault="00DF7024" w:rsidP="00DF7024">
            <w:pPr>
              <w:tabs>
                <w:tab w:val="left" w:pos="566"/>
              </w:tabs>
              <w:spacing w:after="0" w:line="240" w:lineRule="exact"/>
              <w:jc w:val="center"/>
              <w:rPr>
                <w:rFonts w:ascii="Times New Roman" w:eastAsia="ヒラギノ明朝 Pro W3" w:hAnsi="Times New Roman" w:cs="Times New Roman"/>
                <w:sz w:val="18"/>
                <w:szCs w:val="18"/>
              </w:rPr>
            </w:pP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41 –</w:t>
            </w:r>
            <w:r w:rsidRPr="00DF7024">
              <w:rPr>
                <w:rFonts w:ascii="Times New Roman" w:eastAsia="ヒラギノ明朝 Pro W3" w:hAnsi="Times New Roman" w:cs="Times New Roman"/>
                <w:sz w:val="18"/>
                <w:szCs w:val="18"/>
              </w:rPr>
              <w:t xml:space="preserve"> Aynı Tebliğin eki “Ayakta Tedavide Sağlık Raporu (Uzman Hekim Raporu/Sağlık Kurulu Raporu) ile Verilebilecek İlaçlar Listesi” nde (Ek-4/F) aşağıdaki değişiklikler yapılmıştır.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(27) numaralı madde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“27. Tobramisin İnhaler ve Kolistimetat (Kistik fibrozis hastalarında pseudomonas aeruginosa'ya bağlı kronik akciğer enfeksiyonunda ödenir. İlk defa ilaç kullanacak hastalarda; son 6 ay içerisinde en az birer aylık aralar ile alınan en az 3 solunum yolu kültüründe (balgam veya bronkoalveolar lavaj) p.aeruginosa pozitif kültür sonuçları ve tarihleri Üniversite veya eğitim ve araştırma hastanelerinde göğüs hastalıkları uzmanı veya enfeksiyon hastalıkları uzmanlarınca düzenlenecek 1 yıl süreli sağlık kurulu raporunda belirtilir. Raporun yenilenmesi durumunda devam tedavisi olduğu, yeni pozitif kültürün tarihi ve sonucu belirtilir. Sağlık raporuna dayanılarak bu hekimlerce tobramisin en fazla 1 kutu, kolistimetat 1 aylık dozda (ilk reçete dahil) reçetelenir. Sonraki her reçete için yeni pozitif kültür tarihi ve sonucu reçete veya raporda belirtilir.)”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(45) numaralı madde aşağıdaki şekilde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“45. Solifenasin, Tolterodine-L, Trospiyum, Darifenasin, Propiverin, Fesoterodin, Duloksetin; Oksibutinine yanıt alınamayan ya da tolere edemeyen hastalarda uzman hekimlerce raporsuz, uzman hekim raporuna dayanılarak tüm hekimlerce”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(49) numaralı maddesinde geçen “serum Ig E düzeyinin 30-700 IU/ml” ifadesi “serum Ig E düzeyinin 30-1500 IU/ml” şeklinde değiştirilmiştir.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Aşağıdaki (58) numaralı madde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“58. Eplerenon (Spironolakton tedavisi altındayken jinekomasti gelişen veya spironolaktonu tolere edemeyen akut MI sonrası klinik kalp yetmezliği olan sol ventrikül disfonksiyonlu (Atım volümü(LVEF)≤%40) hastaların tedavisinde kardiyoloji uzman hekimlerince düzenlenen rapora istinaden tüm hekimlerce reçetelenebilir. Hipertansiyon tedavisinde ödenmez.)”</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 xml:space="preserve">MADDE 42 – </w:t>
            </w:r>
            <w:r w:rsidRPr="00DF7024">
              <w:rPr>
                <w:rFonts w:ascii="Times New Roman" w:eastAsia="ヒラギノ明朝 Pro W3" w:hAnsi="Times New Roman" w:cs="Times New Roman"/>
                <w:sz w:val="18"/>
                <w:szCs w:val="18"/>
              </w:rPr>
              <w:t>Aynı Tebliğin eki “Sadece Yatan Hastalarda Kullanımı Halinde Bedelleri Ödenecek İlaçlar Listesi’’nin (Ek-4/G) (27) numaralı maddesinde yer alan “plazminojen aktivatörleri” ifadesinden sonra gelmek üzere “, absiksimab” ifadesi eklenmiştir.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43 –</w:t>
            </w:r>
            <w:r w:rsidRPr="00DF7024">
              <w:rPr>
                <w:rFonts w:ascii="Times New Roman" w:eastAsia="ヒラギノ明朝 Pro W3" w:hAnsi="Times New Roman" w:cs="Times New Roman"/>
                <w:sz w:val="18"/>
                <w:szCs w:val="18"/>
              </w:rPr>
              <w:t xml:space="preserve"> Bu Tebliğin;</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a) 1 ila 3, 5 ila 8 ve 19 ila 39 uncu maddeleri 1/5/2013 tarihinden geçerli olmak üzere yayımı tarihinde,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b) 4 üncü maddesi 1/1/2013 tarihinden geçerli olmak üzere yayımı tarihinde,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c) 9, 11 ila 18, 40 ve 42 nci maddeleri ile 41 inci maddesinin (b), (c) ve (ç) bentleri yayımı tarihinden 5 iş günü sonra,</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ç) 41 inci maddesinin (a) bendi 6/8/2012 tarihinden geçerli olmak üzere yayımı tarihinde,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d) Diğer maddeleri yayımı tarihinde,</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sz w:val="18"/>
                <w:szCs w:val="18"/>
              </w:rPr>
              <w:t>yürürlüğe girer.</w:t>
            </w:r>
          </w:p>
          <w:p w:rsidR="00DF7024" w:rsidRPr="00DF7024" w:rsidRDefault="00DF7024" w:rsidP="00DF7024">
            <w:pPr>
              <w:tabs>
                <w:tab w:val="left" w:pos="566"/>
              </w:tabs>
              <w:spacing w:after="0" w:line="240" w:lineRule="exact"/>
              <w:ind w:firstLine="566"/>
              <w:jc w:val="both"/>
              <w:rPr>
                <w:rFonts w:ascii="Times New Roman" w:eastAsia="ヒラギノ明朝 Pro W3" w:hAnsi="Times New Roman" w:cs="Times New Roman"/>
                <w:sz w:val="18"/>
                <w:szCs w:val="18"/>
              </w:rPr>
            </w:pPr>
            <w:r w:rsidRPr="00DF7024">
              <w:rPr>
                <w:rFonts w:ascii="Times New Roman" w:eastAsia="ヒラギノ明朝 Pro W3" w:hAnsi="Times New Roman" w:cs="Times New Roman"/>
                <w:b/>
                <w:sz w:val="18"/>
                <w:szCs w:val="18"/>
              </w:rPr>
              <w:t>MADDE 44 –</w:t>
            </w:r>
            <w:r w:rsidRPr="00DF7024">
              <w:rPr>
                <w:rFonts w:ascii="Times New Roman" w:eastAsia="ヒラギノ明朝 Pro W3" w:hAnsi="Times New Roman" w:cs="Times New Roman"/>
                <w:sz w:val="18"/>
                <w:szCs w:val="18"/>
              </w:rPr>
              <w:t xml:space="preserve"> Bu Tebliğ hükümlerini Sosyal Güvenlik Kurumu Başkanı yürütür.</w:t>
            </w:r>
          </w:p>
          <w:p w:rsidR="00DF7024" w:rsidRPr="00DF7024" w:rsidRDefault="00DF7024" w:rsidP="00DF7024">
            <w:pPr>
              <w:tabs>
                <w:tab w:val="left" w:pos="566"/>
              </w:tabs>
              <w:spacing w:after="0" w:line="240" w:lineRule="exact"/>
              <w:jc w:val="center"/>
              <w:rPr>
                <w:rFonts w:ascii="Times New Roman" w:eastAsia="ヒラギノ明朝 Pro W3" w:hAnsi="Times New Roman" w:cs="Times New Roman"/>
                <w:sz w:val="18"/>
                <w:szCs w:val="18"/>
              </w:rPr>
            </w:pPr>
          </w:p>
          <w:p w:rsidR="00DF7024" w:rsidRPr="00DF7024" w:rsidRDefault="00DF7024" w:rsidP="00DF7024">
            <w:pPr>
              <w:tabs>
                <w:tab w:val="left" w:pos="566"/>
              </w:tabs>
              <w:spacing w:after="0" w:line="240" w:lineRule="exact"/>
              <w:rPr>
                <w:rFonts w:ascii="Times New Roman" w:eastAsia="ヒラギノ明朝 Pro W3" w:hAnsi="Times" w:cs="Times New Roman"/>
                <w:b/>
                <w:bCs/>
                <w:color w:val="0000FF"/>
                <w:sz w:val="19"/>
                <w:szCs w:val="20"/>
              </w:rPr>
            </w:pPr>
            <w:hyperlink r:id="rId5" w:history="1">
              <w:r w:rsidRPr="00DF7024">
                <w:rPr>
                  <w:rFonts w:ascii="Times New Roman" w:eastAsia="ヒラギノ明朝 Pro W3" w:hAnsi="Times New Roman" w:cs="Times New Roman"/>
                  <w:b/>
                  <w:bCs/>
                  <w:color w:val="0000FF"/>
                  <w:sz w:val="18"/>
                  <w:szCs w:val="18"/>
                </w:rPr>
                <w:t>Ekleri için tıklayınız.</w:t>
              </w:r>
            </w:hyperlink>
          </w:p>
        </w:tc>
      </w:tr>
    </w:tbl>
    <w:p w:rsidR="003F43DB" w:rsidRDefault="00DF7024"/>
    <w:sectPr w:rsidR="003F43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3F1"/>
    <w:rsid w:val="00362059"/>
    <w:rsid w:val="00B4686E"/>
    <w:rsid w:val="00D623F1"/>
    <w:rsid w:val="00DF7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DF7024"/>
    <w:rPr>
      <w:color w:val="0000FF"/>
      <w:u w:val="single"/>
    </w:rPr>
  </w:style>
  <w:style w:type="paragraph" w:styleId="NormalWeb">
    <w:name w:val="Normal (Web)"/>
    <w:basedOn w:val="Normal"/>
    <w:uiPriority w:val="99"/>
    <w:unhideWhenUsed/>
    <w:rsid w:val="00DF702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 Baslık"/>
    <w:rsid w:val="00DF7024"/>
    <w:pPr>
      <w:spacing w:after="0" w:line="240" w:lineRule="auto"/>
      <w:jc w:val="center"/>
    </w:pPr>
    <w:rPr>
      <w:rFonts w:ascii="Times New Roman" w:eastAsia="ヒラギノ明朝 Pro W3" w:hAnsi="Times" w:cs="Times New Roman"/>
      <w:b/>
      <w:sz w:val="19"/>
      <w:szCs w:val="20"/>
    </w:rPr>
  </w:style>
  <w:style w:type="paragraph" w:customStyle="1" w:styleId="3-NormalYaz">
    <w:name w:val="3-Normal Yazı"/>
    <w:rsid w:val="00DF7024"/>
    <w:pPr>
      <w:tabs>
        <w:tab w:val="left" w:pos="566"/>
      </w:tabs>
      <w:spacing w:after="0" w:line="240" w:lineRule="auto"/>
      <w:jc w:val="both"/>
    </w:pPr>
    <w:rPr>
      <w:rFonts w:ascii="Times New Roman" w:eastAsia="ヒラギノ明朝 Pro W3" w:hAnsi="Times" w:cs="Times New Roman"/>
      <w:sz w:val="19"/>
      <w:szCs w:val="20"/>
    </w:rPr>
  </w:style>
  <w:style w:type="paragraph" w:customStyle="1" w:styleId="1-Baslk">
    <w:name w:val="1-Baslık"/>
    <w:rsid w:val="00DF7024"/>
    <w:pPr>
      <w:tabs>
        <w:tab w:val="left" w:pos="566"/>
      </w:tabs>
      <w:spacing w:after="0" w:line="240" w:lineRule="auto"/>
    </w:pPr>
    <w:rPr>
      <w:rFonts w:ascii="Times New Roman" w:eastAsia="ヒラギノ明朝 Pro W3" w:hAnsi="Times" w:cs="Times New Roman"/>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DF7024"/>
    <w:rPr>
      <w:color w:val="0000FF"/>
      <w:u w:val="single"/>
    </w:rPr>
  </w:style>
  <w:style w:type="paragraph" w:styleId="NormalWeb">
    <w:name w:val="Normal (Web)"/>
    <w:basedOn w:val="Normal"/>
    <w:uiPriority w:val="99"/>
    <w:unhideWhenUsed/>
    <w:rsid w:val="00DF702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 Baslık"/>
    <w:rsid w:val="00DF7024"/>
    <w:pPr>
      <w:spacing w:after="0" w:line="240" w:lineRule="auto"/>
      <w:jc w:val="center"/>
    </w:pPr>
    <w:rPr>
      <w:rFonts w:ascii="Times New Roman" w:eastAsia="ヒラギノ明朝 Pro W3" w:hAnsi="Times" w:cs="Times New Roman"/>
      <w:b/>
      <w:sz w:val="19"/>
      <w:szCs w:val="20"/>
    </w:rPr>
  </w:style>
  <w:style w:type="paragraph" w:customStyle="1" w:styleId="3-NormalYaz">
    <w:name w:val="3-Normal Yazı"/>
    <w:rsid w:val="00DF7024"/>
    <w:pPr>
      <w:tabs>
        <w:tab w:val="left" w:pos="566"/>
      </w:tabs>
      <w:spacing w:after="0" w:line="240" w:lineRule="auto"/>
      <w:jc w:val="both"/>
    </w:pPr>
    <w:rPr>
      <w:rFonts w:ascii="Times New Roman" w:eastAsia="ヒラギノ明朝 Pro W3" w:hAnsi="Times" w:cs="Times New Roman"/>
      <w:sz w:val="19"/>
      <w:szCs w:val="20"/>
    </w:rPr>
  </w:style>
  <w:style w:type="paragraph" w:customStyle="1" w:styleId="1-Baslk">
    <w:name w:val="1-Baslık"/>
    <w:rsid w:val="00DF7024"/>
    <w:pPr>
      <w:tabs>
        <w:tab w:val="left" w:pos="566"/>
      </w:tabs>
      <w:spacing w:after="0" w:line="240" w:lineRule="auto"/>
    </w:pPr>
    <w:rPr>
      <w:rFonts w:ascii="Times New Roman" w:eastAsia="ヒラギノ明朝 Pro W3" w:hAnsi="Times" w:cs="Times New Roman"/>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smigazete.gov.tr/eskiler/2013/05/20130504-11-1.rar"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12095</Words>
  <Characters>68944</Characters>
  <Application>Microsoft Office Word</Application>
  <DocSecurity>0</DocSecurity>
  <Lines>574</Lines>
  <Paragraphs>161</Paragraphs>
  <ScaleCrop>false</ScaleCrop>
  <Company/>
  <LinksUpToDate>false</LinksUpToDate>
  <CharactersWithSpaces>80878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ARIKAN DEMIR</dc:creator>
  <cp:keywords/>
  <dc:description/>
  <cp:lastModifiedBy>ARIKAN DEMIR</cp:lastModifiedBy>
  <cp:revision>2</cp:revision>
  <dcterms:created xsi:type="dcterms:W3CDTF">2013-05-06T08:11:00Z</dcterms:created>
  <dcterms:modified xsi:type="dcterms:W3CDTF">2013-05-06T08:11:00Z</dcterms:modified>
</cp:coreProperties>
</file>