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97" w:rsidRDefault="00222A97" w:rsidP="00222A97">
      <w:pPr>
        <w:tabs>
          <w:tab w:val="left" w:pos="566"/>
        </w:tabs>
        <w:spacing w:line="240" w:lineRule="exact"/>
        <w:jc w:val="center"/>
        <w:rPr>
          <w:b/>
          <w:bCs/>
          <w:sz w:val="16"/>
          <w:szCs w:val="16"/>
        </w:rPr>
      </w:pPr>
      <w:r w:rsidRPr="006457F1">
        <w:rPr>
          <w:b/>
          <w:bCs/>
          <w:sz w:val="16"/>
          <w:szCs w:val="16"/>
        </w:rPr>
        <w:t>RESMİ GAZETE SAYISI: 2</w:t>
      </w:r>
      <w:r w:rsidR="005E1ED2">
        <w:rPr>
          <w:b/>
          <w:bCs/>
          <w:sz w:val="16"/>
          <w:szCs w:val="16"/>
        </w:rPr>
        <w:t>8031</w:t>
      </w:r>
      <w:r w:rsidRPr="006457F1">
        <w:rPr>
          <w:b/>
          <w:bCs/>
          <w:sz w:val="16"/>
          <w:szCs w:val="16"/>
        </w:rPr>
        <w:t xml:space="preserve">        </w:t>
      </w:r>
      <w:r w:rsidR="005E1ED2">
        <w:rPr>
          <w:b/>
          <w:bCs/>
          <w:sz w:val="16"/>
          <w:szCs w:val="16"/>
        </w:rPr>
        <w:t xml:space="preserve">      RESMİ GAZETE TARİHİ: 20.08</w:t>
      </w:r>
      <w:r w:rsidRPr="006457F1">
        <w:rPr>
          <w:b/>
          <w:bCs/>
          <w:sz w:val="16"/>
          <w:szCs w:val="16"/>
        </w:rPr>
        <w:t>.2011</w:t>
      </w:r>
    </w:p>
    <w:p w:rsidR="00222A97" w:rsidRPr="006457F1" w:rsidRDefault="00222A97" w:rsidP="00222A97">
      <w:pPr>
        <w:tabs>
          <w:tab w:val="left" w:pos="566"/>
        </w:tabs>
        <w:spacing w:line="240" w:lineRule="exact"/>
        <w:jc w:val="center"/>
        <w:rPr>
          <w:b/>
          <w:bCs/>
          <w:sz w:val="16"/>
          <w:szCs w:val="16"/>
        </w:rPr>
      </w:pPr>
    </w:p>
    <w:p w:rsidR="00807EDB" w:rsidRDefault="00807EDB" w:rsidP="00222A97">
      <w:pPr>
        <w:widowControl w:val="0"/>
        <w:spacing w:line="240" w:lineRule="exact"/>
        <w:rPr>
          <w:b/>
          <w:bCs/>
          <w:sz w:val="24"/>
          <w:szCs w:val="24"/>
        </w:rPr>
      </w:pPr>
      <w:r w:rsidRPr="00807EDB">
        <w:rPr>
          <w:b/>
          <w:bCs/>
          <w:sz w:val="24"/>
          <w:szCs w:val="24"/>
        </w:rPr>
        <w:t>KAMU İHALE GENEL TEBLİĞİNDE DEĞİŞİKLİK</w:t>
      </w:r>
      <w:r w:rsidR="00222A97">
        <w:rPr>
          <w:b/>
          <w:bCs/>
          <w:sz w:val="24"/>
          <w:szCs w:val="24"/>
        </w:rPr>
        <w:t xml:space="preserve"> </w:t>
      </w:r>
      <w:r w:rsidRPr="00807EDB">
        <w:rPr>
          <w:b/>
          <w:bCs/>
          <w:sz w:val="24"/>
          <w:szCs w:val="24"/>
        </w:rPr>
        <w:t>YAPILMASINA DAİR TEBLİĞ</w:t>
      </w:r>
    </w:p>
    <w:p w:rsidR="00E56297" w:rsidRPr="00807EDB" w:rsidRDefault="00E56297" w:rsidP="00807EDB">
      <w:pPr>
        <w:widowControl w:val="0"/>
        <w:spacing w:line="240" w:lineRule="exact"/>
        <w:jc w:val="center"/>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1 - </w:t>
      </w:r>
      <w:r w:rsidRPr="00807EDB">
        <w:rPr>
          <w:sz w:val="24"/>
          <w:szCs w:val="24"/>
        </w:rPr>
        <w:t>22.8.2009 tarihli ve 27327 sayılı Resmi Gazete’de yayımlanan Kamu İhale Genel Tebliğine 7.5. maddesinden sonra gelmek üzere aşağıdaki madde eklenmiştir.</w:t>
      </w:r>
    </w:p>
    <w:p w:rsidR="00807EDB" w:rsidRPr="00807EDB" w:rsidRDefault="00807EDB" w:rsidP="00807EDB">
      <w:pPr>
        <w:spacing w:line="240" w:lineRule="exact"/>
        <w:ind w:firstLine="567"/>
        <w:jc w:val="both"/>
        <w:rPr>
          <w:sz w:val="24"/>
          <w:szCs w:val="24"/>
        </w:rPr>
      </w:pPr>
      <w:r w:rsidRPr="00807EDB">
        <w:rPr>
          <w:b/>
          <w:bCs/>
          <w:sz w:val="24"/>
          <w:szCs w:val="24"/>
        </w:rPr>
        <w:t>“7.6.</w:t>
      </w:r>
      <w:r w:rsidRPr="00807EDB">
        <w:rPr>
          <w:sz w:val="24"/>
          <w:szCs w:val="24"/>
        </w:rPr>
        <w:t> İhale uygulama yönetmeliklerinin</w:t>
      </w:r>
      <w:r w:rsidRPr="00807EDB">
        <w:rPr>
          <w:b/>
          <w:bCs/>
          <w:sz w:val="24"/>
          <w:szCs w:val="24"/>
        </w:rPr>
        <w:t xml:space="preserve"> </w:t>
      </w:r>
      <w:r w:rsidRPr="00807EDB">
        <w:rPr>
          <w:sz w:val="24"/>
          <w:szCs w:val="24"/>
        </w:rPr>
        <w:t>“İş deneyimini gösteren belgeler” başlıklı maddelerinde; iş ortaklığında pilot ortağın ve diğer ortakların her birinin istenen iş deneyim tutarını belli oranlarda sağlaması şartı getirilmiş olmakla birlikte, ihaleye katılan iş ortaklığının ortakları tarafından ortaklık oranları ve yapısı aynı olmak kaydıyla daha önce kurulmuş olan iş ortaklığının gerçekleştirdiği bir işten elde edilen iş deneyimini gösteren belgelerin sunulması halinde, bu şartın aranmayacağı da hüküm altına alınmıştır. Bu kapsamda, uygulama yönetmeliklerinin “İş deneyim belgelerinin değerlendirilmesi” başlıklı bölümünün “Değerlendirmeye ilişkin esaslar” maddelerinde de; ihaleye katılan iş ortaklığının ortakları tarafından ortaklık oranları ve yapısı aynı olmak kaydıyla daha önce kurulmuş olan iş ortaklığının gerçekleştirdiği bir işten elde edilen iş deneyimini gösteren belgelerin sunulması halinde, iş ortaklığının iş deneyim tutarının ortakların hisse oranlarına bakılmaksızın belge tutarı esas alınarak hesaplanması öngörülmüştür.</w:t>
      </w:r>
    </w:p>
    <w:p w:rsidR="00807EDB" w:rsidRPr="00807EDB" w:rsidRDefault="00807EDB" w:rsidP="00807EDB">
      <w:pPr>
        <w:widowControl w:val="0"/>
        <w:spacing w:line="240" w:lineRule="exact"/>
        <w:ind w:firstLine="567"/>
        <w:jc w:val="both"/>
        <w:rPr>
          <w:sz w:val="24"/>
          <w:szCs w:val="24"/>
        </w:rPr>
      </w:pPr>
      <w:r w:rsidRPr="00807EDB">
        <w:rPr>
          <w:sz w:val="24"/>
          <w:szCs w:val="24"/>
        </w:rPr>
        <w:t>Örneğin; tüzel kişi (A)’nın pilot ortak sıfatıyla % 60,  tüzel kişi (B)’nin özel ortak sıfatıyla % 25 ve gerçek kişi (C)’nin ise yine özel ortak sıfatıyla % 15 oranında ortak olduğu (ABC) iş ortaklığı tarafından gerçekleştirilen bir işten dolayı 1/10/2008 tarihinde ilgili mevzuatı uyarınca (1.000.000. TL) tutarında iş deneyim belgesi düzenlenmiştir. 1.8.2011 tarihinde ilan edilen bir ihaleye teklif vermek üzere (A), (B) ve (C) yeniden bir araya gelerek (A)’nın pilot ortak sıfatıyla % 60,  (B)’nin özel ortak sıfatıyla % 25 ve (C)’nin de özel ortak sıfatıyla % 15 oranında ortak olduğu (ABC) iş ortaklığını kurmuşlardır. Söz konusu iş ortaklığı tarafından verilen teklif kapsamında, 1/10/2008 tarihinde düzenlenen ve benzer işten elde edilmiş olan (1.000.000 TL) tutarındaki iş deneyim belgesi sunulmuştur. Bu durumda, ihale komisyonu (ABC) iş ortaklığı tarafından sunulan iş deneyim belgesini inceleyecek ve  iş deneyim belgesi sahibi iş ortaklığı ile ihaleye teklif veren iş ortaklığını oluşturan kişilerin (A,B,C), ortaklık oranlarının (A % 60, B % 25 ve C % 15) ve ortaklık sıfatlarının (A pilot ortak, B ve C özel ortak) aynı olması nedeniyle, iş deneyim tutarını her bir ortağın iş ortaklığındaki ortaklık oranına göre ayrı ayrı hesaplamayacak ve belge tutarı olan 1.000.000 TL’yi güncellemek suretiyle (ABC) iş ortaklığının iş deneyim tutarı olarak kabul edecektir.”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2 - </w:t>
      </w:r>
      <w:r w:rsidRPr="00807EDB">
        <w:rPr>
          <w:sz w:val="24"/>
          <w:szCs w:val="24"/>
        </w:rPr>
        <w:t>Aynı Tebliğin 8.1.1. maddesindeki “kamu kurumlarının” ibaresi “kamu kurum ve kuruluşları ile kamu kurumu niteliğindeki meslek kuruluşlarının” olarak değiştirilmiştir.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3 - </w:t>
      </w:r>
      <w:r w:rsidRPr="00807EDB">
        <w:rPr>
          <w:sz w:val="24"/>
          <w:szCs w:val="24"/>
        </w:rPr>
        <w:t>Aynı Tebliğin 8.1.2. maddesindeki “kamu kurum ve kuruluşlarınca” ibaresi “kamu kurum ve kuruluşları ile kamu kurumu niteliğindeki meslek kuruluşlarınca” olarak değiştirilmiştir.</w:t>
      </w:r>
    </w:p>
    <w:p w:rsidR="00222A97" w:rsidRDefault="00222A97"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4 - </w:t>
      </w:r>
      <w:r w:rsidRPr="00807EDB">
        <w:rPr>
          <w:sz w:val="24"/>
          <w:szCs w:val="24"/>
        </w:rPr>
        <w:t>Aynı Tebliğin 8.1.3. ve 8.1.4. maddelerindeki “kamu kurum ve kuruluşlarının” ibaresi “kamu kurum ve kuruluşları ile kamu kurumu niteliğindeki meslek kuruluşlarının” olarak değiştirilmiştir.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5 - </w:t>
      </w:r>
      <w:r w:rsidRPr="00807EDB">
        <w:rPr>
          <w:sz w:val="24"/>
          <w:szCs w:val="24"/>
        </w:rPr>
        <w:t>Aynı Tebliğin 8.1.5.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“8.1.5. </w:t>
      </w:r>
      <w:r w:rsidRPr="00807EDB">
        <w:rPr>
          <w:sz w:val="24"/>
          <w:szCs w:val="24"/>
        </w:rPr>
        <w:t>Aday veya isteklilerce internet çıktısı şeklinde sunulan ve idarece teyidi yapılan belgelere ilişkin olarak gerekli görülmesi durumunda, ihale komisyonu ilgili kamu kurum ve kuruluşları ile kamu kurumu niteliğindeki meslek kuruluşlarından gerekli belge ve bilgileri isteyebilir.”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6 - </w:t>
      </w:r>
      <w:r w:rsidRPr="00807EDB">
        <w:rPr>
          <w:sz w:val="24"/>
          <w:szCs w:val="24"/>
        </w:rPr>
        <w:t>Aynı Tebliğin 10.1. maddesi aşağıdaki şekilde değiştirilmiş ve bu maddeden sonra gelmek üzere aşağıdaki maddeler eklenmiştir.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“10.1</w:t>
      </w:r>
      <w:r w:rsidRPr="00807EDB">
        <w:rPr>
          <w:sz w:val="24"/>
          <w:szCs w:val="24"/>
        </w:rPr>
        <w:t>. Bilanço ve eşdeğer belgelerin istenildiği ihalelerde, ihalenin yapıldığı yıldan önceki yıla ait yayımlanması zorunlu yıl sonu bilançosunun veya bilançonun gerekli görülen bölümlerinin yoksa bunlara eşdeğer belgelerin sunulması gereklidir.</w:t>
      </w:r>
    </w:p>
    <w:p w:rsidR="00807EDB" w:rsidRPr="00807EDB" w:rsidRDefault="00807EDB" w:rsidP="00807EDB">
      <w:pPr>
        <w:widowControl w:val="0"/>
        <w:spacing w:line="240" w:lineRule="exact"/>
        <w:ind w:firstLine="567"/>
        <w:jc w:val="both"/>
        <w:rPr>
          <w:sz w:val="24"/>
          <w:szCs w:val="24"/>
        </w:rPr>
      </w:pPr>
      <w:r w:rsidRPr="00807EDB">
        <w:rPr>
          <w:b/>
          <w:bCs/>
          <w:sz w:val="24"/>
          <w:szCs w:val="24"/>
        </w:rPr>
        <w:t>10.1.1.</w:t>
      </w:r>
      <w:r w:rsidRPr="00807EDB">
        <w:rPr>
          <w:sz w:val="24"/>
          <w:szCs w:val="24"/>
        </w:rPr>
        <w:t xml:space="preserve"> Aday veya isteklilerin ilgili mevzuatı gereğince bilançolarını yayımlatmaları </w:t>
      </w:r>
      <w:r w:rsidRPr="00807EDB">
        <w:rPr>
          <w:sz w:val="24"/>
          <w:szCs w:val="24"/>
        </w:rPr>
        <w:lastRenderedPageBreak/>
        <w:t>zorunlu ise başvuru veya tekliflerinde bilançolarını veya bilançonun ilgili uygulama yönetmeliğinin “Bilanço veya eşdeğer belgeler” başlıklı maddesinde düzenlenen yeterlik kriterlerinin sağlandığını gösteren bölümlerini sunmaları zorunludur.</w:t>
      </w:r>
    </w:p>
    <w:p w:rsidR="00807EDB" w:rsidRPr="00807EDB" w:rsidRDefault="00807EDB" w:rsidP="00807EDB">
      <w:pPr>
        <w:widowControl w:val="0"/>
        <w:spacing w:line="240" w:lineRule="exact"/>
        <w:ind w:firstLine="567"/>
        <w:jc w:val="both"/>
        <w:rPr>
          <w:sz w:val="24"/>
          <w:szCs w:val="24"/>
        </w:rPr>
      </w:pPr>
      <w:r w:rsidRPr="00807EDB">
        <w:rPr>
          <w:b/>
          <w:bCs/>
          <w:sz w:val="24"/>
          <w:szCs w:val="24"/>
        </w:rPr>
        <w:t>10.1.2.</w:t>
      </w:r>
      <w:r w:rsidRPr="00807EDB">
        <w:rPr>
          <w:sz w:val="24"/>
          <w:szCs w:val="24"/>
        </w:rPr>
        <w:t xml:space="preserve"> İlgili mevzuatı gereğince bilançolarını yayımlatma zorunluluğu bulunmayan aday ve istekliler, eşdeğer belge kapsamında; bilançolarını veya bilançonun yukarıda belirtilen bölümlerini sunabilecekleri gibi, bunların yerine bilançoda aranan kriterlerin sağlandığını göstermek üzere yeminli mali müşavir veya serbest muhasebeci mali müşavirce standart forma uygun olarak düzenlenen belgeyi de sunabileceklerdir. Bu belgeler dışında,bilançoda aranan kriterlerin sağlandığını göstermek üzere sunulan hiçbir belge, eşdeğer belge olarak kabul edilmeyecektir.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10.1.3.</w:t>
      </w:r>
      <w:r w:rsidRPr="00807EDB">
        <w:rPr>
          <w:sz w:val="24"/>
          <w:szCs w:val="24"/>
        </w:rPr>
        <w:t xml:space="preserve"> Aday veya isteklilerce sunulan Bilanço Bilgileri Tablosu’nun, ilgili uygulama yönetmeliğinin ekinde yer alan “Bilanço Bilgileri Tablosu Standard Formu” na uygun olarak ve anılan formda yapılan açıklamalar dikkate alınmak suretiyle düzenlenmesi gerekmektedir. Bu Tablonun, ihalenin ilk ilan veya davet tarihinden önce de düzenlenmesi mümkündür.”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7 - </w:t>
      </w:r>
      <w:r w:rsidRPr="00807EDB">
        <w:rPr>
          <w:sz w:val="24"/>
          <w:szCs w:val="24"/>
        </w:rPr>
        <w:t>Aynı Tebliğe 13.1.1.4. maddesinden sonra gelmek üzere aşağıdaki madde eklenmiştir.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“13.1.1.5 </w:t>
      </w:r>
      <w:r w:rsidRPr="00807EDB">
        <w:rPr>
          <w:sz w:val="24"/>
          <w:szCs w:val="24"/>
        </w:rPr>
        <w:t>17.12.2009 tarihli ve 27435 sayılı Resmi Gazetede yayımlanan 7.12.2009 tarihli ve 2009/DK.D-164 sayılı Kamu İhale Kurulu Kararı gereğince 4734 sayılı Kamu İhale Kanununun 13 üncü maddesinin birinci fıkrasının (b) bendinin (1) numaralı alt bendine göre yapılacak ihale ilanlarının Kamu İhale Bülteninde de yayımlanması gerekmektedir.”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8 - </w:t>
      </w:r>
      <w:r w:rsidRPr="00807EDB">
        <w:rPr>
          <w:sz w:val="24"/>
          <w:szCs w:val="24"/>
        </w:rPr>
        <w:t>Aynı Tebliğin 16.5.2. maddesinin birinci cümlesi aşağıdaki şekilde değiştirilmiş ve bu maddeden sonra gelmek üzere aşağıdaki madde eklenmiştir.</w:t>
      </w:r>
    </w:p>
    <w:p w:rsidR="00807EDB" w:rsidRPr="00807EDB" w:rsidRDefault="00807EDB" w:rsidP="00807EDB">
      <w:pPr>
        <w:widowControl w:val="0"/>
        <w:spacing w:line="240" w:lineRule="exact"/>
        <w:ind w:firstLine="567"/>
        <w:jc w:val="both"/>
        <w:rPr>
          <w:sz w:val="24"/>
          <w:szCs w:val="24"/>
        </w:rPr>
      </w:pPr>
      <w:r w:rsidRPr="00807EDB">
        <w:rPr>
          <w:sz w:val="24"/>
          <w:szCs w:val="24"/>
        </w:rPr>
        <w:t>“Kısmi teklife izin verilip verilmediğine bakılmaksızın, birim fiyat üzerinden teklif alınan tüm ihalelerde istekliler, hizmet alımı ihalelerinde işçi sayısı üzerinden teklif alınan işçilik kalemleri hariç, birim fiyatları ve birim fiyatla miktarın çarpılması sonucu bulunan tutarları, virgülden sonra iki ondalık basamaklı sayıdan fazla olacak şekilde verebileceklerdir.”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“16.5.2.1. </w:t>
      </w:r>
      <w:r w:rsidRPr="00807EDB">
        <w:rPr>
          <w:sz w:val="24"/>
          <w:szCs w:val="24"/>
        </w:rPr>
        <w:t>İşçilik ücreti, yol ve yemek bedeli ile bunlar üzerinden alınan prim tutarları gibi işçilik kalemlerini oluşturan maliyet unsurlarına ilişkin hesaplama yöntemi, sosyal güvenlik mevzuatı kapsamında kanunla ve idari düzenlemelerle belirlenmiş olup, bu çerçevede 1 TL (Bir Türk Lirası)’nin altındaki tutarlar iki ondalık basamaklı sayıya yuvarlanarak yazılmaktadır. Sosyal güvenlik mevzuatındaki düzenlemelerin emredici nitelikte olması nedeniyle isteklilerin ilgili mevzuatı gereğince yapacakları işçilik hesaplamalarında da anılan yöntemin uygulanması zorunluluğu bulunmaktadır. Bu sebeple, hizmet alımı ihalelerinde birim fiyat teklif cetvelinde yer alan ve işçi sayısı üzerinden teklif alınan işçilik kalemlerinin birim fiyatları ile birim fiyatla miktarın çarpılması sonucu bulunan tutarları, virgülden sonra en yakın iki ondalık basamaklı sayıya yuvarlanarak yazılacaktır. Yuvarlama işleminde yarım kuruş ve üzerindeki değerler bir kuruşa tamamlanacak; yarım kuruşun altındaki değerler ise dikkate alınmayacaktır.”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9 - </w:t>
      </w:r>
      <w:r w:rsidRPr="00807EDB">
        <w:rPr>
          <w:sz w:val="24"/>
          <w:szCs w:val="24"/>
        </w:rPr>
        <w:t>Aynı Tebliğin 18.5.1. maddesinin üçüncü cümlesindeki, 18.5.2. maddesinin birinci cümlesindeki ve 18.5.3. maddesinin birinci cümlesindeki "sözleşme süresi" ibaresi "sözleşme yapma süresi" olarak değiştirilmiş ve 18.5.2. maddesinin son cümlesi metinden çıkarılmıştır.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10 - </w:t>
      </w:r>
      <w:r w:rsidRPr="00807EDB">
        <w:rPr>
          <w:sz w:val="24"/>
          <w:szCs w:val="24"/>
        </w:rPr>
        <w:t>Aynı Tebliğe 25.2. maddesinden sonra gelmek üzere aşağıdaki madde eklenmiştir.</w:t>
      </w:r>
    </w:p>
    <w:p w:rsidR="00807EDB" w:rsidRPr="00807EDB" w:rsidRDefault="00807EDB" w:rsidP="00807EDB">
      <w:pPr>
        <w:widowControl w:val="0"/>
        <w:spacing w:line="240" w:lineRule="exact"/>
        <w:ind w:firstLine="567"/>
        <w:jc w:val="both"/>
        <w:rPr>
          <w:b/>
          <w:bCs/>
          <w:sz w:val="24"/>
          <w:szCs w:val="24"/>
        </w:rPr>
      </w:pPr>
      <w:r w:rsidRPr="00807EDB">
        <w:rPr>
          <w:b/>
          <w:bCs/>
          <w:sz w:val="24"/>
          <w:szCs w:val="24"/>
        </w:rPr>
        <w:t>“25.3. Kamu İhale Kurumu tarafından belirlenen mücbir sebep halleri</w:t>
      </w:r>
    </w:p>
    <w:p w:rsidR="00807EDB" w:rsidRPr="00807EDB" w:rsidRDefault="00807EDB" w:rsidP="00807EDB">
      <w:pPr>
        <w:spacing w:line="240" w:lineRule="exact"/>
        <w:ind w:firstLine="567"/>
        <w:jc w:val="both"/>
        <w:rPr>
          <w:sz w:val="24"/>
          <w:szCs w:val="24"/>
        </w:rPr>
      </w:pPr>
      <w:r w:rsidRPr="00807EDB">
        <w:rPr>
          <w:b/>
          <w:bCs/>
          <w:sz w:val="24"/>
          <w:szCs w:val="24"/>
        </w:rPr>
        <w:t>25.3.1.</w:t>
      </w:r>
      <w:r w:rsidRPr="00807EDB">
        <w:rPr>
          <w:sz w:val="24"/>
          <w:szCs w:val="24"/>
        </w:rPr>
        <w:t xml:space="preserve"> 4735 Sayılı Kamu İhale Sözleşmeleri Kanununun “Mücbir Sebepler” başlıklı 10 uncu maddesinde; “Mücbir sebep olarak kabul edilebilecek haller aşağıda belirtilmiştir:</w:t>
      </w:r>
    </w:p>
    <w:p w:rsidR="00807EDB" w:rsidRPr="00807EDB" w:rsidRDefault="00807EDB" w:rsidP="00807EDB">
      <w:pPr>
        <w:spacing w:line="240" w:lineRule="exact"/>
        <w:ind w:firstLine="567"/>
        <w:jc w:val="both"/>
        <w:rPr>
          <w:sz w:val="24"/>
          <w:szCs w:val="24"/>
        </w:rPr>
      </w:pPr>
      <w:r w:rsidRPr="00807EDB">
        <w:rPr>
          <w:sz w:val="24"/>
          <w:szCs w:val="24"/>
        </w:rPr>
        <w:t>a) Doğal afetler</w:t>
      </w:r>
    </w:p>
    <w:p w:rsidR="00807EDB" w:rsidRPr="00807EDB" w:rsidRDefault="00807EDB" w:rsidP="00807EDB">
      <w:pPr>
        <w:spacing w:line="240" w:lineRule="exact"/>
        <w:ind w:firstLine="567"/>
        <w:jc w:val="both"/>
        <w:rPr>
          <w:sz w:val="24"/>
          <w:szCs w:val="24"/>
        </w:rPr>
      </w:pPr>
      <w:r w:rsidRPr="00807EDB">
        <w:rPr>
          <w:sz w:val="24"/>
          <w:szCs w:val="24"/>
        </w:rPr>
        <w:t>b) Kanuni grev</w:t>
      </w:r>
    </w:p>
    <w:p w:rsidR="00807EDB" w:rsidRPr="00807EDB" w:rsidRDefault="00807EDB" w:rsidP="00807EDB">
      <w:pPr>
        <w:spacing w:line="240" w:lineRule="exact"/>
        <w:ind w:firstLine="567"/>
        <w:jc w:val="both"/>
        <w:rPr>
          <w:sz w:val="24"/>
          <w:szCs w:val="24"/>
        </w:rPr>
      </w:pPr>
      <w:r w:rsidRPr="00807EDB">
        <w:rPr>
          <w:sz w:val="24"/>
          <w:szCs w:val="24"/>
        </w:rPr>
        <w:t>c) Genel salgın hastalık</w:t>
      </w:r>
    </w:p>
    <w:p w:rsidR="00807EDB" w:rsidRPr="00807EDB" w:rsidRDefault="00807EDB" w:rsidP="00807EDB">
      <w:pPr>
        <w:spacing w:line="240" w:lineRule="exact"/>
        <w:ind w:firstLine="567"/>
        <w:jc w:val="both"/>
        <w:rPr>
          <w:sz w:val="24"/>
          <w:szCs w:val="24"/>
        </w:rPr>
      </w:pPr>
      <w:r w:rsidRPr="00807EDB">
        <w:rPr>
          <w:sz w:val="24"/>
          <w:szCs w:val="24"/>
        </w:rPr>
        <w:t>d) Kısmi veya genel seferberlik ilanı</w:t>
      </w:r>
    </w:p>
    <w:p w:rsidR="00807EDB" w:rsidRPr="00807EDB" w:rsidRDefault="00807EDB" w:rsidP="00807EDB">
      <w:pPr>
        <w:spacing w:line="240" w:lineRule="exact"/>
        <w:ind w:firstLine="567"/>
        <w:jc w:val="both"/>
        <w:rPr>
          <w:sz w:val="24"/>
          <w:szCs w:val="24"/>
        </w:rPr>
      </w:pPr>
      <w:r w:rsidRPr="00807EDB">
        <w:rPr>
          <w:sz w:val="24"/>
          <w:szCs w:val="24"/>
        </w:rPr>
        <w:t>e) Gerektiğinde Kurum tarafından belirlenecek benzeri diğer haller</w:t>
      </w:r>
    </w:p>
    <w:p w:rsidR="00807EDB" w:rsidRPr="00807EDB" w:rsidRDefault="00807EDB" w:rsidP="00807EDB">
      <w:pPr>
        <w:spacing w:line="240" w:lineRule="exact"/>
        <w:ind w:firstLine="567"/>
        <w:jc w:val="both"/>
        <w:rPr>
          <w:sz w:val="24"/>
          <w:szCs w:val="24"/>
        </w:rPr>
      </w:pPr>
      <w:r w:rsidRPr="00807EDB">
        <w:rPr>
          <w:sz w:val="24"/>
          <w:szCs w:val="24"/>
        </w:rPr>
        <w:lastRenderedPageBreak/>
        <w:t>Süre uzatımı verilmesi, sözleşmenin feshi gibi durumlar da dahil olmak üzere, idare tarafından yukarıda belirtilen hallerin mücbir sebep olarak kabul edilebilmesi için; yükleniciden kaynaklanan bir kusurdan ileri gelmemiş olması, taahhüdün yerine getirilmesine engel nitelikte olması, yüklenicinin bu engeli ortadan kaldırmaya gücünün yetmemiş bulunması, mücbir sebebin meydana geldiği tarihi izleyen yirmi gün içinde yüklenicinin idareye yazılı olarak bildirimde bulunması ve yetkili merciler tarafından belgelendirilmesi zorunludur.” hükmü yer almaktadır. Sözkonusu maddenin (e) bendi ile, Kamu İhale Kurumuna, (a), (b), (c), (d) bentlerinde belirtilenlere benzer halleri mücbir sebep olarak belirleme konusunda yetki verilmiştir.</w:t>
      </w:r>
    </w:p>
    <w:p w:rsidR="00807EDB" w:rsidRPr="00807EDB" w:rsidRDefault="00807EDB" w:rsidP="00807EDB">
      <w:pPr>
        <w:spacing w:line="240" w:lineRule="exact"/>
        <w:ind w:firstLine="567"/>
        <w:jc w:val="both"/>
        <w:rPr>
          <w:sz w:val="24"/>
          <w:szCs w:val="24"/>
        </w:rPr>
      </w:pPr>
      <w:r w:rsidRPr="00807EDB">
        <w:rPr>
          <w:b/>
          <w:bCs/>
          <w:sz w:val="24"/>
          <w:szCs w:val="24"/>
        </w:rPr>
        <w:t>25.3.2.</w:t>
      </w:r>
      <w:r w:rsidRPr="00807EDB">
        <w:rPr>
          <w:sz w:val="24"/>
          <w:szCs w:val="24"/>
        </w:rPr>
        <w:t xml:space="preserve"> 4735 sayılı Kanunda düzenlenen haliyle mücbir sebepler, yüklenicinin sözleşme konusu işi sözleşmede belirtilen şartlarda yapmasını engelleyen durumlardır. Maddede sayılan hallerin taahhüdün ifasını engellemesi durumunda yüklenici tarafından süresi içersinde idareye mücbir sebep başvurusunda bulunulması gerekmektedir. Yüklenicinin talebinin mevzuat çerçevesinde sonuçlandırılması hususundaki yetki ve sorumluluk idarededir. Anılan Kanun maddesinin ikinci fıkrasında belirtilen şartların varlığı durumunda, idarece yapılan değerlendirme sonucunda mücbir sebep nedeniyle süre uzatımı verilmesi veya sözleşmenin feshi yönünde karar alınabilecektir. Örneğin süre uzatımına ilişkin başvurularda, yüklenicinin mücbir sebebin meydana geldiği tarihi izleyen 20 gün içinde idareye başvurması, mücbir sebep oluşturan olayları belgelemesi ve idare tarafından, meydana gelen olayın iş üzerinde gecikmeye tesiri olup olmadığı ve bu gecikmenin yüklenici kusurundan kaynaklanıp kaynaklanmadığının incelenmesi ve buna göre karar verilmesi gerekmektedir</w:t>
      </w:r>
    </w:p>
    <w:p w:rsidR="00807EDB" w:rsidRPr="00807EDB" w:rsidRDefault="00807EDB" w:rsidP="00807EDB">
      <w:pPr>
        <w:spacing w:line="240" w:lineRule="exact"/>
        <w:ind w:firstLine="567"/>
        <w:jc w:val="both"/>
        <w:rPr>
          <w:sz w:val="24"/>
          <w:szCs w:val="24"/>
        </w:rPr>
      </w:pPr>
      <w:r w:rsidRPr="00807EDB">
        <w:rPr>
          <w:b/>
          <w:bCs/>
          <w:sz w:val="24"/>
          <w:szCs w:val="24"/>
        </w:rPr>
        <w:t>25.3.3.</w:t>
      </w:r>
      <w:r w:rsidRPr="00807EDB">
        <w:rPr>
          <w:sz w:val="24"/>
          <w:szCs w:val="24"/>
        </w:rPr>
        <w:t xml:space="preserve"> Yükleniciler tarafından idareye yapılan başvurularda (a), (b), (c), (d) bentlerinde belirtilen hallerin dışında bir sebebin söz konusu olması ve maddede sayılan diğer şartların bulunması durumunda, konunun (e) bendi kapsamında mücbir sebep olarak belirlenmesi talebiyle idareler tarafından Kuruma başvurulması mümkün bulunmaktadır. Kuruma yapılacak başvurularda gereksiz yazışmalara sebebiyet verilmemesini teminen, yüklenicinin mücbir sebep talebini oluşturan olayları belgelemek üzere idareye sunduğu belgeler ile varsa idarenin yaptığı incelemede ulaştığı belgelerin de gönderilmesi ve idarenin konuya ilişkin görüşünün açık olarak belirtilmesi gerekmektedir.</w:t>
      </w:r>
    </w:p>
    <w:p w:rsidR="00807EDB" w:rsidRPr="00807EDB" w:rsidRDefault="00807EDB" w:rsidP="00807EDB">
      <w:pPr>
        <w:spacing w:line="240" w:lineRule="exact"/>
        <w:ind w:firstLine="567"/>
        <w:jc w:val="both"/>
        <w:rPr>
          <w:sz w:val="24"/>
          <w:szCs w:val="24"/>
        </w:rPr>
      </w:pPr>
      <w:r w:rsidRPr="00807EDB">
        <w:rPr>
          <w:b/>
          <w:bCs/>
          <w:sz w:val="24"/>
          <w:szCs w:val="24"/>
        </w:rPr>
        <w:t>25.3.4.</w:t>
      </w:r>
      <w:r w:rsidRPr="00807EDB">
        <w:rPr>
          <w:sz w:val="24"/>
          <w:szCs w:val="24"/>
        </w:rPr>
        <w:t xml:space="preserve"> Kamu İhale Kurumu tarafından anılan Kanun maddesinin (e) bendi çerçevesinde mücbir sebep olarak kabul edilebilecek benzeri diğer hallere ilişkin olarak genel bir belirleme yapılmaktadır. 4735 Sayılı Kanunun 10 uncu maddesinin (a), (b), (c), (d) bentlerinde sayılan mücbir sebep hallerine bakıldığında bu durumlarda hem öngörülmezlik, hem de önlenemezlik şartlarının bir arada gerçekleşmesi gerektiği açıktır. Anılan maddenin (e) bendi çerçevesinde Kurumca belirlenecek “benzeri diğer haller” için de bu iki kriterin bir arada sağlanması şartı aranmaktadır. Buna göre idarelerce yapılacak başvurularda mücbir sebep olarak belirlenmesi istenilen durumun öngörülmezlik ve önlenemezlik kriterlerini birlikte taşıması  gerekmektedir.</w:t>
      </w:r>
    </w:p>
    <w:p w:rsidR="00807EDB" w:rsidRPr="00807EDB" w:rsidRDefault="00807EDB" w:rsidP="00807EDB">
      <w:pPr>
        <w:spacing w:line="240" w:lineRule="exact"/>
        <w:ind w:firstLine="567"/>
        <w:jc w:val="both"/>
        <w:rPr>
          <w:sz w:val="24"/>
          <w:szCs w:val="24"/>
        </w:rPr>
      </w:pPr>
      <w:r w:rsidRPr="00807EDB">
        <w:rPr>
          <w:b/>
          <w:bCs/>
          <w:sz w:val="24"/>
          <w:szCs w:val="24"/>
        </w:rPr>
        <w:t>25.3.5.</w:t>
      </w:r>
      <w:r w:rsidRPr="00807EDB">
        <w:rPr>
          <w:sz w:val="24"/>
          <w:szCs w:val="24"/>
        </w:rPr>
        <w:t xml:space="preserve"> Kuruma yapılan başvuruların bir çoğunda, mücbir sebep kabul edilmesi talep edilen durumun yükleniciler açısından öngörülmezlik ve önlenemezlik kriterlerini taşımadığı görülmektedir. Örneğin sözleşme konusu edimin ifa edilebilmesi için gerekli tedbirlerin alınmasının, müdebbir bir tacir olarak yüklenicinin sorumluluğunda bulunduğu açıktır. Bu çerçevede, ihale dokümanındaki şartları okuyup kabul ederek teklif veren isteklilerin, ihale konusu işi ihale dokümanına uygun bir şekilde yerine getirmelerini mümkün kılacak hazırlık ve programlama çalışmalarını, ihale konusu edimin ifasını zora sokmayacak şekilde önceden müdebbir bir tacirin sorumluluğunu taşıyarak gerçekleştirmeleri gerekmektedir. Buna göre, idareye yapılan başvurular üzerine idarelerin yapacakları değerlendirmede başvuru konusunun yükleniciler tarafından önceden öngörülebilir ve önlenebilir olup olmadığının da değerlendirilmesi ve bu nitelikleri taşımayan talepler için Kuruma başvuruda bulunulmaması gerekmektedir.”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11 - </w:t>
      </w:r>
      <w:r w:rsidRPr="00807EDB">
        <w:rPr>
          <w:sz w:val="24"/>
          <w:szCs w:val="24"/>
        </w:rPr>
        <w:t>Aynı Tebliğin 36 ncı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“36.1.</w:t>
      </w:r>
      <w:r w:rsidRPr="00807EDB">
        <w:rPr>
          <w:sz w:val="24"/>
          <w:szCs w:val="24"/>
        </w:rPr>
        <w:t xml:space="preserve">Uygulama Yönetmeliğinin </w:t>
      </w:r>
      <w:r w:rsidRPr="00807EDB">
        <w:rPr>
          <w:i/>
          <w:iCs/>
          <w:sz w:val="24"/>
          <w:szCs w:val="24"/>
        </w:rPr>
        <w:t>“İsteklinin iş hacmini gösteren belgeler”</w:t>
      </w:r>
      <w:r w:rsidRPr="00807EDB">
        <w:rPr>
          <w:sz w:val="24"/>
          <w:szCs w:val="24"/>
        </w:rPr>
        <w:t xml:space="preserve"> başlıklı 36 ncı maddesinin üçüncü fıkrasındaki kriterleri, ihalenin yapıldığı yıldan önceki yılda sağlayamayan aday veya istekliler, ihalenin yapıldığı yıldan önceki son altı yıla kadarki belgelerin ortalaması üzerinden söz konusu kriterleri sağlayabilirler. Ancak bu durumda ihalenin yapıldığı yıldan bir önceki yıldan itibaren geriye doğru olan yıllara ait belgelerin sırasıyla sunulması zorunludur. Örneğin; 2011 yılı Eylül ayında yapılacak olan bir ihalede, </w:t>
      </w:r>
      <w:r w:rsidRPr="00807EDB">
        <w:rPr>
          <w:sz w:val="24"/>
          <w:szCs w:val="24"/>
        </w:rPr>
        <w:lastRenderedPageBreak/>
        <w:t>2010 yılına ait iş hacmini gösteren belge ile yeterlik kriterlerini sağlayamayan bir isteklinin, 2009-2010 veya 2008-2009-2010 veya 2007-2008-2009-2010 veya 2006-2007-2008-2009-2010 yahut 2005-2006-2007-2008-2009-2010 yıllarına ait belgeleri sunmak suretiyle yeterlik kriterlerini sağlaması mümkündür. Ancak; örneğin 2006 yılına ait belgeler sunulmadan, 2005-2007-2008-2009-2010 yıllarına ait belgeler sunulmak suretiyle yeterlik kriterlerinin sağlanması mümkün değildir.</w:t>
      </w:r>
    </w:p>
    <w:p w:rsidR="00807EDB" w:rsidRPr="00807EDB" w:rsidRDefault="00807EDB" w:rsidP="00807EDB">
      <w:pPr>
        <w:widowControl w:val="0"/>
        <w:spacing w:line="240" w:lineRule="exact"/>
        <w:ind w:firstLine="567"/>
        <w:jc w:val="both"/>
        <w:rPr>
          <w:sz w:val="24"/>
          <w:szCs w:val="24"/>
        </w:rPr>
      </w:pPr>
      <w:r w:rsidRPr="00807EDB">
        <w:rPr>
          <w:b/>
          <w:bCs/>
          <w:sz w:val="24"/>
          <w:szCs w:val="24"/>
        </w:rPr>
        <w:t>36.2.</w:t>
      </w:r>
      <w:r w:rsidRPr="00807EDB">
        <w:rPr>
          <w:sz w:val="24"/>
          <w:szCs w:val="24"/>
        </w:rPr>
        <w:t xml:space="preserve"> Bilanço rasyolarına ilişkin kriterleri ihalenin yapıldığı yıldan önceki yılda sağlayamayan aday ve istekliler, son üç yıla kadar olan yılların belgelerini sunmak suretiyle kriterleri sağladıklarını tevsik edebileceklerdir. Ancak bu durumda, ihalenin yapıldığı yıldan bir önceki yıldan itibaren geriye doğru olan yıllara ait belgelerin sunulması zorunludur. Örneğin; 2011 yılının Eylül ayında yapılan bir ihalede, 2010 yılı bilançosunda bilanço rasyolarına ilişkin kriterleri sağlayamayan bir istekli, 2009-2010 yıllarına veya 2008-2009-2010 yıllarına ilişkin belgeleri sunmak suretiyle kriterleri sağladığını tevsik edebilecek olup, 2010 yılında kriterleri sağlayamayan isteklinin sadece 2009 yılına ait veya 2008 yılına ait yahut 2008-2010 veya 2008-2009 yıllarına ait bilançolarını sunmak suretiyle bu kriterleri sağladığını tevsik etmesi mümkün değildir.</w:t>
      </w:r>
    </w:p>
    <w:p w:rsidR="00807EDB" w:rsidRPr="00807EDB" w:rsidRDefault="00807EDB" w:rsidP="00807EDB">
      <w:pPr>
        <w:widowControl w:val="0"/>
        <w:spacing w:line="240" w:lineRule="exact"/>
        <w:ind w:firstLine="567"/>
        <w:jc w:val="both"/>
        <w:rPr>
          <w:sz w:val="24"/>
          <w:szCs w:val="24"/>
        </w:rPr>
      </w:pPr>
      <w:r w:rsidRPr="00807EDB">
        <w:rPr>
          <w:b/>
          <w:bCs/>
          <w:sz w:val="24"/>
          <w:szCs w:val="24"/>
        </w:rPr>
        <w:t>36.3.</w:t>
      </w:r>
      <w:r w:rsidRPr="00807EDB">
        <w:rPr>
          <w:sz w:val="24"/>
          <w:szCs w:val="24"/>
        </w:rPr>
        <w:t xml:space="preserve">  Birden fazla yıla ait iş hacmine ilişkin belgelerdeki tutarlar, Uygulama Yönetmeliğinin 37 nci maddesi uyarınca güncellenerek değerlendirilecektir.”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12 - </w:t>
      </w:r>
      <w:r w:rsidRPr="00807EDB">
        <w:rPr>
          <w:sz w:val="24"/>
          <w:szCs w:val="24"/>
        </w:rPr>
        <w:t>Aynı Tebliğin 37 nci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“37.1.</w:t>
      </w:r>
      <w:r w:rsidRPr="00807EDB">
        <w:rPr>
          <w:sz w:val="24"/>
          <w:szCs w:val="24"/>
        </w:rPr>
        <w:t xml:space="preserve">Uygulama Yönetmeliğinin </w:t>
      </w:r>
      <w:r w:rsidRPr="00807EDB">
        <w:rPr>
          <w:i/>
          <w:iCs/>
          <w:sz w:val="24"/>
          <w:szCs w:val="24"/>
        </w:rPr>
        <w:t>“İsteklinin organizasyon yapısına ve personel durumuna ilişkin belgeler”</w:t>
      </w:r>
      <w:r w:rsidRPr="00807EDB">
        <w:rPr>
          <w:sz w:val="24"/>
          <w:szCs w:val="24"/>
        </w:rPr>
        <w:t xml:space="preserve"> başlıklı 40 ıncı maddesi uyarınca, aday veya isteklilerden anahtar teknik personel istenilmesi durumunda aşağıdaki hususlara dikkat edilmesi gerekmektedir.</w:t>
      </w:r>
    </w:p>
    <w:p w:rsidR="00807EDB" w:rsidRPr="00807EDB" w:rsidRDefault="00807EDB" w:rsidP="00807EDB">
      <w:pPr>
        <w:widowControl w:val="0"/>
        <w:spacing w:line="240" w:lineRule="exact"/>
        <w:ind w:firstLine="567"/>
        <w:jc w:val="both"/>
        <w:rPr>
          <w:sz w:val="24"/>
          <w:szCs w:val="24"/>
        </w:rPr>
      </w:pPr>
      <w:r w:rsidRPr="00807EDB">
        <w:rPr>
          <w:b/>
          <w:bCs/>
          <w:sz w:val="24"/>
          <w:szCs w:val="24"/>
        </w:rPr>
        <w:t>37.1.1.</w:t>
      </w:r>
      <w:r w:rsidRPr="00807EDB">
        <w:rPr>
          <w:sz w:val="24"/>
          <w:szCs w:val="24"/>
        </w:rPr>
        <w:t xml:space="preserve"> İsteklilerin/Adayların, teklifleri/başvuruları kapsamında, ilk ilan/davet tarihinden geriye doğru en az bir yıl boyunca ticari faaliyette bulundukları yerde kesintisiz şekilde ve işin niteliğine uygun olarak idarece öngörülen sayıda mühendis veya mimar çalıştırdıklarını belgelendirmeleri gerekmektedir. Anahtar teknik personelin, ilk ilan/davet tarihinden geriye doğru bir yıl içinde, sigortalı hizmet listesindeki eksik gün sayısı toplamı otuz günü aşamaz.</w:t>
      </w:r>
    </w:p>
    <w:p w:rsidR="00807EDB" w:rsidRPr="00807EDB" w:rsidRDefault="00807EDB" w:rsidP="00807EDB">
      <w:pPr>
        <w:widowControl w:val="0"/>
        <w:spacing w:line="240" w:lineRule="exact"/>
        <w:ind w:firstLine="567"/>
        <w:jc w:val="both"/>
        <w:rPr>
          <w:sz w:val="24"/>
          <w:szCs w:val="24"/>
        </w:rPr>
      </w:pPr>
      <w:r w:rsidRPr="00807EDB">
        <w:rPr>
          <w:b/>
          <w:bCs/>
          <w:sz w:val="24"/>
          <w:szCs w:val="24"/>
        </w:rPr>
        <w:t>37.1.2.</w:t>
      </w:r>
      <w:r w:rsidRPr="00807EDB">
        <w:rPr>
          <w:sz w:val="24"/>
          <w:szCs w:val="24"/>
        </w:rPr>
        <w:t xml:space="preserve"> Anahtar teknik personel bakımından, ticari faaliyette bulunulan yer olarak, ticari işletmelerde ticaret sicilinde kayıtlı merkez veya şube adresi, esnaf ve sanatkârlar için ise sicilde kayıtlı adres kabul edilecektir.</w:t>
      </w:r>
    </w:p>
    <w:p w:rsidR="00807EDB" w:rsidRPr="00807EDB" w:rsidRDefault="00807EDB" w:rsidP="00807EDB">
      <w:pPr>
        <w:widowControl w:val="0"/>
        <w:spacing w:line="240" w:lineRule="exact"/>
        <w:ind w:firstLine="567"/>
        <w:jc w:val="both"/>
        <w:rPr>
          <w:strike/>
          <w:sz w:val="24"/>
          <w:szCs w:val="24"/>
        </w:rPr>
      </w:pPr>
      <w:r w:rsidRPr="00807EDB">
        <w:rPr>
          <w:b/>
          <w:bCs/>
          <w:sz w:val="24"/>
          <w:szCs w:val="24"/>
        </w:rPr>
        <w:t>37.1.3.</w:t>
      </w:r>
      <w:r w:rsidRPr="00807EDB">
        <w:rPr>
          <w:sz w:val="24"/>
          <w:szCs w:val="24"/>
        </w:rPr>
        <w:t xml:space="preserve"> İstekliler/Adaylar, teklifleri/başvuruları kapsamında; ihale/ön yeterlik tarihi itibari ile ticari faaliyette bulundukları yerde çalıştırdıkları anahtar teknik personelin listesini (Standart Form-KİK025.3/Y) sunacaklardır. Ayrıca adı geçen standart formun ekinde, ilk ilan/davet tarihinden geriye doğru en az bir yıl boyunca ticari faaliyette bulunulan yerde çalıştırılan anahtar teknik personele ilişkin “Geriye Doğru Bir Yıllık Dönem İçinde Çalıştırılan Anahtar Teknik Personel Listesi” (Standart Form-KİK025.4/Y) ve anahtar teknik personel listesinde (Standart Form-KİK025.3/Y) bildirilen mühendis/mimar tarafından düzenlenen, Anahtar Teknik Personel Beyannamesi (Standart Form-KİK025.2/Y) yer alacaktır.</w:t>
      </w:r>
    </w:p>
    <w:p w:rsidR="00807EDB" w:rsidRPr="00807EDB" w:rsidRDefault="00807EDB" w:rsidP="00807EDB">
      <w:pPr>
        <w:widowControl w:val="0"/>
        <w:spacing w:line="240" w:lineRule="exact"/>
        <w:ind w:firstLine="567"/>
        <w:jc w:val="both"/>
        <w:rPr>
          <w:sz w:val="24"/>
          <w:szCs w:val="24"/>
        </w:rPr>
      </w:pPr>
      <w:r w:rsidRPr="00807EDB">
        <w:rPr>
          <w:b/>
          <w:bCs/>
          <w:sz w:val="24"/>
          <w:szCs w:val="24"/>
        </w:rPr>
        <w:t>37.1.4.</w:t>
      </w:r>
      <w:r w:rsidRPr="00807EDB">
        <w:rPr>
          <w:sz w:val="24"/>
          <w:szCs w:val="24"/>
        </w:rPr>
        <w:t xml:space="preserve"> Anahtar teknik personel listesinde (Standart Form-KİK025.3/Y) bildirilen mühendis/mimarların; mezuniyet belgelerinin, ilgili meslek odasına kayıtlı olduklarını gösterir üye kayıt belgelerinin, ilgisine göre Sosyal Güvenlik Kurumu onaylı; “Hizmet Bildirimi” veya personelin işe alındığını gösteren belgelerin adı geçen liste ekinde sunulması gerekmektedir.</w:t>
      </w:r>
    </w:p>
    <w:p w:rsidR="00807EDB" w:rsidRPr="00807EDB" w:rsidRDefault="00807EDB" w:rsidP="00807EDB">
      <w:pPr>
        <w:widowControl w:val="0"/>
        <w:spacing w:line="240" w:lineRule="exact"/>
        <w:ind w:firstLine="567"/>
        <w:jc w:val="both"/>
        <w:rPr>
          <w:sz w:val="24"/>
          <w:szCs w:val="24"/>
        </w:rPr>
      </w:pPr>
      <w:r w:rsidRPr="00807EDB">
        <w:rPr>
          <w:b/>
          <w:bCs/>
          <w:sz w:val="24"/>
          <w:szCs w:val="24"/>
        </w:rPr>
        <w:t>37.1.5.</w:t>
      </w:r>
      <w:r w:rsidRPr="00807EDB">
        <w:rPr>
          <w:sz w:val="24"/>
          <w:szCs w:val="24"/>
        </w:rPr>
        <w:t xml:space="preserve"> “Geriye Doğru Bir Yıllık Dönem İçinde Çalıştırılan Anahtar Teknik Personel Listesi” (Standart Form-KİK025.4/Y) ekinde, listedeki personele ilişkin mezuniyet belgeleri ve Sosyal Güvenlik Kurumu onaylı “Hizmet Bildirimi”nin yer alması gereklidir.</w:t>
      </w:r>
    </w:p>
    <w:p w:rsidR="00807EDB" w:rsidRPr="00807EDB" w:rsidRDefault="00807EDB" w:rsidP="00807EDB">
      <w:pPr>
        <w:widowControl w:val="0"/>
        <w:spacing w:line="240" w:lineRule="exact"/>
        <w:ind w:firstLine="567"/>
        <w:jc w:val="both"/>
        <w:rPr>
          <w:sz w:val="24"/>
          <w:szCs w:val="24"/>
        </w:rPr>
      </w:pPr>
      <w:r w:rsidRPr="00807EDB">
        <w:rPr>
          <w:b/>
          <w:bCs/>
          <w:sz w:val="24"/>
          <w:szCs w:val="24"/>
        </w:rPr>
        <w:t>37.1.6.</w:t>
      </w:r>
      <w:r w:rsidRPr="00807EDB">
        <w:rPr>
          <w:sz w:val="24"/>
          <w:szCs w:val="24"/>
        </w:rPr>
        <w:t> Anahtar teknik personelin mezuniyetinden itibaren geçecek süre en fazla beş yıl olarak öngörülebilecek olup, idarelerce bu süreden daha az bir süre de öngörülebilir. Anahtar teknik personelde, belli bir süre benzer işte çalışma ve lisansüstü eğitim yapmış olma koşulunun aranmaması gerekmektedir. Anahtar teknik personelin mezuniyetinde itibaren geçecek süre belirlenirken kıst olarak (ay ve gün) hesaplama yapılmayacaktır. Örneğin 1/9/2011 tarihinde yapılan bir ihalede, dokümanda anahtar teknik personel için  mezuniyetinden itibaren geçecek sürenin 5 yıl olarak öngörülmesi durumunda, 1/10/2006 tarihinde mezun olan bir mühendis anahtar teknik personel olarak bildirilebilecektir.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37.1.7.</w:t>
      </w:r>
      <w:r w:rsidRPr="00807EDB">
        <w:rPr>
          <w:sz w:val="24"/>
          <w:szCs w:val="24"/>
        </w:rPr>
        <w:t> Yönetmeliğin 40 ıncı maddesinin yedinci fıkrasındaki; “</w:t>
      </w:r>
      <w:r w:rsidRPr="00807EDB">
        <w:rPr>
          <w:i/>
          <w:iCs/>
          <w:sz w:val="24"/>
          <w:szCs w:val="24"/>
        </w:rPr>
        <w:t xml:space="preserve">Yukarıda belirtilen niteliklere sahip gerçek kişi istekliler, şahıs şirketi ortakları, limited şirketlerde müdürlük </w:t>
      </w:r>
      <w:r w:rsidRPr="00807EDB">
        <w:rPr>
          <w:i/>
          <w:iCs/>
          <w:sz w:val="24"/>
          <w:szCs w:val="24"/>
        </w:rPr>
        <w:lastRenderedPageBreak/>
        <w:t>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Gerçek kişi istekliler hariç, bu kişilerin tüzel kişilikteki görev ve/veya ortaklık süreleri, ticaret ve sanayi odası/ticaret odası bünyesinde bulunan ticaret sicil memurlukları, yeminli mali müşavir veya serbest muhasebeci mali müşavir tarafından düzenlenen belge ile tevsik edilir.</w:t>
      </w:r>
      <w:r w:rsidRPr="00807EDB">
        <w:rPr>
          <w:sz w:val="24"/>
          <w:szCs w:val="24"/>
        </w:rPr>
        <w:t>” hükmünde yer alan, “</w:t>
      </w:r>
      <w:r w:rsidRPr="00807EDB">
        <w:rPr>
          <w:i/>
          <w:iCs/>
          <w:sz w:val="24"/>
          <w:szCs w:val="24"/>
        </w:rPr>
        <w:t>limited şirketlerde müdürlük görevini yürüten ortaklar</w:t>
      </w:r>
      <w:r w:rsidRPr="00807EDB">
        <w:rPr>
          <w:sz w:val="24"/>
          <w:szCs w:val="24"/>
        </w:rPr>
        <w:t>” ibaresinden, temsil yetkisi verilen müdür veya müdürler anlaşılması gerekmektedir. Tüzel kişilerin yukarıda sayılan görev veye unvandaki kişiler dışındaki mühendis veya mimar ortakların anahtar teknik personel olarak gösterilebilmesi için bu kişilerin isteklinin bünyesinde çalıştığının sosyal güvenlik kurumu onaylı belgeler ile tevsik edilmesi zorunludur. Anahtar teknik personel olarak şahıs şirketi ortakları, limited şirketlerde müdürlük görevini yürüten ortaklar, anonim şirketlerin yönetim kurulu başkanı, yönetim kurulu üyeleri, murahhas müdür ve genel müdür ortakların bildirilmesi durumunda; ilk ilan veya davet tarihinden geriye doğru en az bir yıldır, ilgisine göre söz konusu görevlerde bulunan ve/veya ortak olan kişilerin, anahtar teknik personel niteliğini haiz olduklarının ve görev ve/veya ortaklık sürelerinin belgelendirilmesi zorunlu olup ayrıca bu kişilerin Anahtar Teknik Personel Beyannamesi (Standart Form-KİK025.2/Y) sunmaları gerekmektedir.</w:t>
      </w:r>
    </w:p>
    <w:p w:rsidR="00807EDB" w:rsidRPr="00807EDB" w:rsidRDefault="00807EDB" w:rsidP="00807EDB">
      <w:pPr>
        <w:widowControl w:val="0"/>
        <w:spacing w:line="240" w:lineRule="exact"/>
        <w:ind w:firstLine="567"/>
        <w:jc w:val="both"/>
        <w:rPr>
          <w:sz w:val="24"/>
          <w:szCs w:val="24"/>
        </w:rPr>
      </w:pPr>
      <w:r w:rsidRPr="00807EDB">
        <w:rPr>
          <w:b/>
          <w:bCs/>
          <w:sz w:val="24"/>
          <w:szCs w:val="24"/>
        </w:rPr>
        <w:t>37.1.8.</w:t>
      </w:r>
      <w:r w:rsidRPr="00807EDB">
        <w:rPr>
          <w:sz w:val="24"/>
          <w:szCs w:val="24"/>
        </w:rPr>
        <w:t xml:space="preserve"> Gerçek kişi aday veya isteklinin, anahtar teknik personel listesinde kendisini bildirmesi durumunda, liste ekinde mezuniyet belgesi ve ilgili meslek odasına kayıtlı olduklarını gösterir üye kayıt belgesi yer alacak olup kendisi için Anahtar Teknik Personel Beyannamesi (Standart Form-KİK025.2/Y) sunmasına gerek bulunmamaktadır. Ancak bu durumda da anahtar teknik personel olan gerçek kişi istekliler, Yönetmeliğin 40 ıncı maddesinin altıncı fıkrası uyarınca anahtar teknik personel olarak görev yaptıkları süre boyunca başka gerçek veya tüzel kişi bünyesinde çalışamayacaklardır. Ayrıca, bir adet anahtar teknik personel istenen ihalelerde, gerçek kişinin anahtar teknik personel olarak kendisini bildirmesi durumunda, “Geriye Doğru Bir Yıllık Dönem İçinde Çalıştırılan Anahtar Teknik Personel Listesi”ni de sunmasına gerek bulunmamaktadır.</w:t>
      </w:r>
    </w:p>
    <w:p w:rsidR="00807EDB" w:rsidRPr="00807EDB" w:rsidRDefault="00807EDB" w:rsidP="00807EDB">
      <w:pPr>
        <w:widowControl w:val="0"/>
        <w:spacing w:line="240" w:lineRule="exact"/>
        <w:ind w:firstLine="567"/>
        <w:jc w:val="both"/>
        <w:rPr>
          <w:sz w:val="24"/>
          <w:szCs w:val="24"/>
        </w:rPr>
      </w:pPr>
      <w:r w:rsidRPr="00807EDB">
        <w:rPr>
          <w:b/>
          <w:bCs/>
          <w:sz w:val="24"/>
          <w:szCs w:val="24"/>
        </w:rPr>
        <w:t>37.1.9.</w:t>
      </w:r>
      <w:r w:rsidRPr="00807EDB">
        <w:rPr>
          <w:sz w:val="24"/>
          <w:szCs w:val="24"/>
        </w:rPr>
        <w:t xml:space="preserve"> Anahtar teknik personel istenen ihalelerde, aday veya isteklilerce başvuru veya tekliflerinde sunmaları gereken belgelere ilişkin olarak hazırlanan örnek durum aşağıda verilmektedir:</w:t>
      </w:r>
    </w:p>
    <w:p w:rsidR="00807EDB" w:rsidRPr="00807EDB" w:rsidRDefault="00807EDB" w:rsidP="00807EDB">
      <w:pPr>
        <w:widowControl w:val="0"/>
        <w:spacing w:line="240" w:lineRule="exact"/>
        <w:ind w:firstLine="567"/>
        <w:jc w:val="both"/>
        <w:rPr>
          <w:sz w:val="24"/>
          <w:szCs w:val="24"/>
        </w:rPr>
      </w:pPr>
      <w:r w:rsidRPr="00807EDB">
        <w:rPr>
          <w:sz w:val="24"/>
          <w:szCs w:val="24"/>
        </w:rPr>
        <w:t>Örnek durum:</w:t>
      </w:r>
    </w:p>
    <w:p w:rsidR="00807EDB" w:rsidRPr="00807EDB" w:rsidRDefault="00807EDB" w:rsidP="00807EDB">
      <w:pPr>
        <w:widowControl w:val="0"/>
        <w:spacing w:line="240" w:lineRule="exact"/>
        <w:ind w:firstLine="567"/>
        <w:jc w:val="both"/>
        <w:rPr>
          <w:sz w:val="24"/>
          <w:szCs w:val="24"/>
        </w:rPr>
      </w:pPr>
      <w:r w:rsidRPr="00807EDB">
        <w:rPr>
          <w:sz w:val="24"/>
          <w:szCs w:val="24"/>
        </w:rPr>
        <w:t>İhale ilanı: 10.8.2011</w:t>
      </w:r>
    </w:p>
    <w:p w:rsidR="00807EDB" w:rsidRPr="00807EDB" w:rsidRDefault="00807EDB" w:rsidP="00807EDB">
      <w:pPr>
        <w:widowControl w:val="0"/>
        <w:spacing w:line="240" w:lineRule="exact"/>
        <w:ind w:firstLine="567"/>
        <w:jc w:val="both"/>
        <w:rPr>
          <w:sz w:val="24"/>
          <w:szCs w:val="24"/>
        </w:rPr>
      </w:pPr>
      <w:r w:rsidRPr="00807EDB">
        <w:rPr>
          <w:sz w:val="24"/>
          <w:szCs w:val="24"/>
        </w:rPr>
        <w:t>İhale tarihi: 10.9.2011</w:t>
      </w:r>
    </w:p>
    <w:p w:rsidR="00807EDB" w:rsidRPr="00807EDB" w:rsidRDefault="00807EDB" w:rsidP="00807EDB">
      <w:pPr>
        <w:widowControl w:val="0"/>
        <w:spacing w:line="240" w:lineRule="exact"/>
        <w:ind w:firstLine="567"/>
        <w:jc w:val="both"/>
        <w:rPr>
          <w:sz w:val="24"/>
          <w:szCs w:val="24"/>
        </w:rPr>
      </w:pPr>
      <w:r w:rsidRPr="00807EDB">
        <w:rPr>
          <w:sz w:val="24"/>
          <w:szCs w:val="24"/>
        </w:rPr>
        <w:t>İstenen anahtar teknik personel: 1 inşaat mühendisi ve 1 makine mühendisi</w:t>
      </w:r>
    </w:p>
    <w:p w:rsidR="00807EDB" w:rsidRPr="00807EDB" w:rsidRDefault="00807EDB" w:rsidP="00807EDB">
      <w:pPr>
        <w:widowControl w:val="0"/>
        <w:spacing w:line="240" w:lineRule="exact"/>
        <w:ind w:firstLine="567"/>
        <w:jc w:val="both"/>
        <w:rPr>
          <w:sz w:val="24"/>
          <w:szCs w:val="24"/>
        </w:rPr>
      </w:pPr>
      <w:r w:rsidRPr="00807EDB">
        <w:rPr>
          <w:sz w:val="24"/>
          <w:szCs w:val="24"/>
        </w:rPr>
        <w:t>X şirketinde 10.9.2011 tarihi itibarıyla çalışan anahtar teknik personel: inşaat mühendisi A ve makine mühendisi B</w:t>
      </w:r>
    </w:p>
    <w:p w:rsidR="00807EDB" w:rsidRPr="00807EDB" w:rsidRDefault="00807EDB" w:rsidP="00807EDB">
      <w:pPr>
        <w:widowControl w:val="0"/>
        <w:spacing w:line="240" w:lineRule="exact"/>
        <w:ind w:firstLine="567"/>
        <w:jc w:val="both"/>
        <w:rPr>
          <w:sz w:val="24"/>
          <w:szCs w:val="24"/>
        </w:rPr>
      </w:pPr>
      <w:r w:rsidRPr="00807EDB">
        <w:rPr>
          <w:sz w:val="24"/>
          <w:szCs w:val="24"/>
        </w:rPr>
        <w:t>İnşaat mühendisi A’nın işe giriş tarihi 1.6.2011</w:t>
      </w:r>
    </w:p>
    <w:p w:rsidR="00807EDB" w:rsidRPr="00807EDB" w:rsidRDefault="00807EDB" w:rsidP="00807EDB">
      <w:pPr>
        <w:widowControl w:val="0"/>
        <w:spacing w:line="240" w:lineRule="exact"/>
        <w:ind w:firstLine="567"/>
        <w:jc w:val="both"/>
        <w:rPr>
          <w:sz w:val="24"/>
          <w:szCs w:val="24"/>
        </w:rPr>
      </w:pPr>
      <w:r w:rsidRPr="00807EDB">
        <w:rPr>
          <w:sz w:val="24"/>
          <w:szCs w:val="24"/>
        </w:rPr>
        <w:t>Makine mühendisi B’nin işe giriş tarihi: 1.4.2007</w:t>
      </w:r>
    </w:p>
    <w:p w:rsidR="00807EDB" w:rsidRPr="00807EDB" w:rsidRDefault="00807EDB" w:rsidP="00807EDB">
      <w:pPr>
        <w:widowControl w:val="0"/>
        <w:spacing w:line="240" w:lineRule="exact"/>
        <w:ind w:firstLine="567"/>
        <w:jc w:val="both"/>
        <w:rPr>
          <w:sz w:val="24"/>
          <w:szCs w:val="24"/>
        </w:rPr>
      </w:pPr>
      <w:r w:rsidRPr="00807EDB">
        <w:rPr>
          <w:sz w:val="24"/>
          <w:szCs w:val="24"/>
        </w:rPr>
        <w:t>İnşaat mühendisi A’dan önce çalışan inşaat yüksek mühendisi D’nin çalıştığı tarihler: 12.4.2009-17.5.2011</w:t>
      </w:r>
    </w:p>
    <w:p w:rsidR="00807EDB" w:rsidRPr="00807EDB" w:rsidRDefault="00807EDB" w:rsidP="00807EDB">
      <w:pPr>
        <w:widowControl w:val="0"/>
        <w:spacing w:line="240" w:lineRule="exact"/>
        <w:ind w:firstLine="567"/>
        <w:jc w:val="both"/>
        <w:rPr>
          <w:sz w:val="24"/>
          <w:szCs w:val="24"/>
        </w:rPr>
      </w:pPr>
      <w:r w:rsidRPr="00807EDB">
        <w:rPr>
          <w:sz w:val="24"/>
          <w:szCs w:val="24"/>
        </w:rPr>
        <w:t>Sözkonusu örnek duruma göre X şirketi teklifi kapsamında aşağıdaki belgeleri sunacaktır:</w:t>
      </w:r>
    </w:p>
    <w:p w:rsidR="00807EDB" w:rsidRPr="00807EDB" w:rsidRDefault="00807EDB" w:rsidP="00807EDB">
      <w:pPr>
        <w:widowControl w:val="0"/>
        <w:spacing w:line="240" w:lineRule="exact"/>
        <w:ind w:firstLine="567"/>
        <w:jc w:val="both"/>
        <w:rPr>
          <w:sz w:val="24"/>
          <w:szCs w:val="24"/>
        </w:rPr>
      </w:pPr>
      <w:r w:rsidRPr="00807EDB">
        <w:rPr>
          <w:sz w:val="24"/>
          <w:szCs w:val="24"/>
        </w:rPr>
        <w:t>1- İhale tarihi itibari ile merkezinde çalıştırdığı anahtar teknik personelin listesi, (Standart Form-KİK025.3/Y) (Bu listede inşaat mühendisi A ve makine mühendisi B bildirilecektir.)</w:t>
      </w:r>
    </w:p>
    <w:p w:rsidR="00807EDB" w:rsidRPr="00807EDB" w:rsidRDefault="00807EDB" w:rsidP="00807EDB">
      <w:pPr>
        <w:widowControl w:val="0"/>
        <w:spacing w:line="240" w:lineRule="exact"/>
        <w:ind w:firstLine="567"/>
        <w:jc w:val="both"/>
        <w:rPr>
          <w:sz w:val="24"/>
          <w:szCs w:val="24"/>
        </w:rPr>
      </w:pPr>
      <w:r w:rsidRPr="00807EDB">
        <w:rPr>
          <w:sz w:val="24"/>
          <w:szCs w:val="24"/>
        </w:rPr>
        <w:t>2-Anahtar teknik personel listesi ekinde; inşaat mühendisi A ve makine mühendisi B’nin mezuniyet belgeleri, oda kayıt belgeleri, inşaat mühendisi A’nın Haziran 2011 ile Temmuz 2011 aylarına ait ve düzenlenmiş ise Ağustos 2011 ayına ait hizmet bildirimi, makine mühendisi B’nin Ağustos 2010 ayından Temmuz 2011 ayına kadar (Ağustos 2010 ayı ve Temmuz 2011 ayı dahil) ve düzenlenmiş ise Ağustos 2011 ayına ait hizmet bildirimleri ile  bu kişilerin anahtar teknik personel beyannameleri (Standart Form-KİK025.2/Y)</w:t>
      </w:r>
    </w:p>
    <w:p w:rsidR="00807EDB" w:rsidRPr="00807EDB" w:rsidRDefault="00807EDB" w:rsidP="00807EDB">
      <w:pPr>
        <w:widowControl w:val="0"/>
        <w:spacing w:line="240" w:lineRule="exact"/>
        <w:ind w:firstLine="567"/>
        <w:jc w:val="both"/>
        <w:rPr>
          <w:sz w:val="24"/>
          <w:szCs w:val="24"/>
        </w:rPr>
      </w:pPr>
      <w:r w:rsidRPr="00807EDB">
        <w:rPr>
          <w:sz w:val="24"/>
          <w:szCs w:val="24"/>
        </w:rPr>
        <w:t>3- “Geriye Doğru Bir Yıllık Dönem İçinde Çalıştırılan Anahtar Teknik Personel Listesi” (Standart Form-KİK025.4/Y) (Bu listede inşaat mühendisi A, inşaat yüksek mühendisi D ve makine mühendisi B bildirilecektir.)</w:t>
      </w:r>
    </w:p>
    <w:p w:rsidR="00807EDB" w:rsidRPr="00807EDB" w:rsidRDefault="00807EDB" w:rsidP="00807EDB">
      <w:pPr>
        <w:widowControl w:val="0"/>
        <w:spacing w:line="240" w:lineRule="exact"/>
        <w:ind w:firstLine="567"/>
        <w:jc w:val="both"/>
        <w:rPr>
          <w:sz w:val="24"/>
          <w:szCs w:val="24"/>
        </w:rPr>
      </w:pPr>
      <w:r w:rsidRPr="00807EDB">
        <w:rPr>
          <w:sz w:val="24"/>
          <w:szCs w:val="24"/>
        </w:rPr>
        <w:t xml:space="preserve">4- “Geriye Doğru Bir Yıllık Dönem İçinde Çalıştırılan Anahtar Teknik Personel Listesi” ekinde inşaat yüksek mühendisi D’nin mezuniyet belgesi ve bu kişiye ait Ağustos 2010 </w:t>
      </w:r>
      <w:r w:rsidRPr="00807EDB">
        <w:rPr>
          <w:sz w:val="24"/>
          <w:szCs w:val="24"/>
        </w:rPr>
        <w:lastRenderedPageBreak/>
        <w:t>ayından Mayıs 2011 ayına kadar olan ( Ağustos 2010 ve Mayıs 2011 ayları dahil) hizmet bildirimleri.”</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13 - </w:t>
      </w:r>
      <w:r w:rsidRPr="00807EDB">
        <w:rPr>
          <w:sz w:val="24"/>
          <w:szCs w:val="24"/>
        </w:rPr>
        <w:t>Aynı Tebliğin 41 inci maddesinin başlığı “Özel sektörde gerçekleştirilen yapım işlerinde iş deneyim belgeleri ile alt yüklenici iş bitirme, iş denetleme ve iş yönetme belgeleri” şeklinde</w:t>
      </w:r>
      <w:r w:rsidRPr="00807EDB">
        <w:rPr>
          <w:b/>
          <w:bCs/>
          <w:sz w:val="24"/>
          <w:szCs w:val="24"/>
        </w:rPr>
        <w:t xml:space="preserve"> </w:t>
      </w:r>
      <w:r w:rsidRPr="00807EDB">
        <w:rPr>
          <w:sz w:val="24"/>
          <w:szCs w:val="24"/>
        </w:rPr>
        <w:t>değiştirilmiş ve 41.7. maddesi yürürlükten kaldırılmıştır.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14 - </w:t>
      </w:r>
      <w:r w:rsidRPr="00807EDB">
        <w:rPr>
          <w:sz w:val="24"/>
          <w:szCs w:val="24"/>
        </w:rPr>
        <w:t>Aynı Tebliğin 42.2. maddesinin sonuna aşağıdaki cümle eklenmiş ve aynı maddeden sonra gelmek üzere aşağıdaki madde eklenmiştir.</w:t>
      </w:r>
    </w:p>
    <w:p w:rsidR="00807EDB" w:rsidRPr="00807EDB" w:rsidRDefault="00807EDB" w:rsidP="00807EDB">
      <w:pPr>
        <w:widowControl w:val="0"/>
        <w:spacing w:line="240" w:lineRule="exact"/>
        <w:ind w:firstLine="567"/>
        <w:jc w:val="both"/>
        <w:rPr>
          <w:sz w:val="24"/>
          <w:szCs w:val="24"/>
        </w:rPr>
      </w:pPr>
      <w:r w:rsidRPr="00807EDB">
        <w:rPr>
          <w:sz w:val="24"/>
          <w:szCs w:val="24"/>
        </w:rPr>
        <w:t>“(7.9.4.3)  maddesine göre yapılan puanlamada; son 15 yıla ilişkin 3 iş deneyim belgesinin toplamına, adayın (7.5) maddesi kapsamında yeterlik için sunduğu iş deneyim belgesi tutarının, (7.9.4.1). maddesine göre tam puan için gereken tutardan fazla olan kısmı da ilave edilecektir.”</w:t>
      </w:r>
    </w:p>
    <w:p w:rsidR="00807EDB" w:rsidRPr="00807EDB" w:rsidRDefault="00807EDB" w:rsidP="00807EDB">
      <w:pPr>
        <w:widowControl w:val="0"/>
        <w:spacing w:line="240" w:lineRule="exact"/>
        <w:ind w:firstLine="567"/>
        <w:jc w:val="both"/>
        <w:rPr>
          <w:sz w:val="24"/>
          <w:szCs w:val="24"/>
        </w:rPr>
      </w:pPr>
      <w:r w:rsidRPr="00807EDB">
        <w:rPr>
          <w:sz w:val="24"/>
          <w:szCs w:val="24"/>
        </w:rPr>
        <w:t>“</w:t>
      </w:r>
      <w:r w:rsidRPr="00807EDB">
        <w:rPr>
          <w:b/>
          <w:bCs/>
          <w:sz w:val="24"/>
          <w:szCs w:val="24"/>
        </w:rPr>
        <w:t>42.3.</w:t>
      </w:r>
      <w:r w:rsidRPr="00807EDB">
        <w:rPr>
          <w:sz w:val="24"/>
          <w:szCs w:val="24"/>
        </w:rPr>
        <w:t xml:space="preserve"> Yönetmeliğin 43 üncü maddesinin ikinci fıkrası gereği birden fazla kurum veya kuruluş tarafından iş deneyim belgesi düzenlenmesinin zorunlu olduğu tek sözleşme kapsamında yapılan işler için düzenlenen iş deneyim belgeleri iş deneyimini tevsik için kullanılabilir. Örneğin, tek sözleşme kapsamında 4 farklı belediye sınırları içinde yapılan bir yapım işi için sözkonusu belediyeler tarafından düzenlenen 4 adet iş deneyim belgesi, başvuru veya teklif kapsamında sözleşme ile birlikte sunulması durumunda belge tutarları toplanmak suretiyle değerlendirmeye alınacaktır.”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15 - </w:t>
      </w:r>
      <w:r w:rsidRPr="00807EDB">
        <w:rPr>
          <w:sz w:val="24"/>
          <w:szCs w:val="24"/>
        </w:rPr>
        <w:t>Aynı Tebliğin 45.1.1.1.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“45.1.1.1.</w:t>
      </w:r>
      <w:r w:rsidRPr="00807EDB">
        <w:rPr>
          <w:sz w:val="24"/>
          <w:szCs w:val="24"/>
        </w:rPr>
        <w:t xml:space="preserve"> Sınır değer eşitliğinde yer alan (N), “sınır değer katsayısı”nı temsil etmekte olup bu katsayı, 11/06/2011 tarihli ve 27961 sayılı Resmi Gazete’de yayımlanan “Yapım İşlerinde Benzer İş Grupları Tebliği”nde yer alan “B-Üstyapı (Bina) İşleri”, “C-Sıhhi Tesisat ve Mekanik Tesisat İşleri”, “D-Elektrik İşleri”, “E-Elektronik ve İletişim İşleri” grubundaki yapım işleri ile bu işlerle ilgili tamamlama, onarım, sondaj, yıkma, güçlendirme ve montaj işlerinde (1,00), diğer yapım işlerinde (1,20)’dir. İhale konusu yapım işinin kapsamında farklı katsayılara tabi iş kısımlarının bulunması durumunda; sınır değer katsayısı, söz konusu kısımlardan toplam yaklaşık maliyeti içindeki ağırlık oranı en fazla olana göre belirlenir.”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16 - </w:t>
      </w:r>
      <w:r w:rsidRPr="00807EDB">
        <w:rPr>
          <w:sz w:val="24"/>
          <w:szCs w:val="24"/>
        </w:rPr>
        <w:t>Aynı Tebliğin 45.1.9. maddesi aşağıdaki şekilde değiştirilmiştir.</w:t>
      </w:r>
    </w:p>
    <w:p w:rsidR="00807EDB" w:rsidRPr="00807EDB" w:rsidRDefault="00807EDB" w:rsidP="00807EDB">
      <w:pPr>
        <w:spacing w:line="240" w:lineRule="exact"/>
        <w:ind w:firstLine="567"/>
        <w:jc w:val="both"/>
        <w:rPr>
          <w:sz w:val="24"/>
          <w:szCs w:val="24"/>
        </w:rPr>
      </w:pPr>
      <w:r w:rsidRPr="00807EDB">
        <w:rPr>
          <w:sz w:val="24"/>
          <w:szCs w:val="24"/>
        </w:rPr>
        <w:t>“</w:t>
      </w:r>
      <w:r w:rsidRPr="00807EDB">
        <w:rPr>
          <w:b/>
          <w:bCs/>
          <w:sz w:val="24"/>
          <w:szCs w:val="24"/>
        </w:rPr>
        <w:t>45.1.9.</w:t>
      </w:r>
      <w:r w:rsidRPr="00807EDB">
        <w:rPr>
          <w:sz w:val="24"/>
          <w:szCs w:val="24"/>
        </w:rPr>
        <w:t xml:space="preserve"> İş kalemleri/gruplarına ait analizler ile yardımcı ve/veya alt analizlerde yer alan işçilik fiyatları ihale tarihinde yürürlükte olan saatlik asgari ücretin altında olamaz.”</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17 - </w:t>
      </w:r>
      <w:r w:rsidRPr="00807EDB">
        <w:rPr>
          <w:sz w:val="24"/>
          <w:szCs w:val="24"/>
        </w:rPr>
        <w:t>Aynı Tebliğin 45.1.13. maddesinin sonuna aşağıdaki cümle eklenmiştir.</w:t>
      </w:r>
    </w:p>
    <w:p w:rsidR="00807EDB" w:rsidRPr="00807EDB" w:rsidRDefault="00807EDB" w:rsidP="00807EDB">
      <w:pPr>
        <w:widowControl w:val="0"/>
        <w:spacing w:line="240" w:lineRule="exact"/>
        <w:ind w:firstLine="567"/>
        <w:jc w:val="both"/>
        <w:rPr>
          <w:sz w:val="24"/>
          <w:szCs w:val="24"/>
        </w:rPr>
      </w:pPr>
      <w:r w:rsidRPr="00807EDB">
        <w:rPr>
          <w:sz w:val="24"/>
          <w:szCs w:val="24"/>
        </w:rPr>
        <w:t>“Yüklenicinin dışında üçüncü kişilerce inşaat mahalli dışında imal edilen ve esaslı başka bir işçilik veya malzeme katkısı yapılmaksızın yapıya monte edilen yapı elemanları için teklif edilen fiyatın, malzeme ve işçilik (gerekiyorsa nakliye de) fiyatlarının da belirtildiği proforma fatura veya fiyat teklifi ile belgelendirilmesi durumunda, bu iş kalemlerine ilişkin ayrıca analiz sunulması zorunlu değildir.”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18 - </w:t>
      </w:r>
      <w:r w:rsidRPr="00807EDB">
        <w:rPr>
          <w:sz w:val="24"/>
          <w:szCs w:val="24"/>
        </w:rPr>
        <w:t>Aynı Tebliğin 48 inci maddesi başlığıyla birlikte aşağıdaki şekilde değiştirilmiştir.</w:t>
      </w:r>
    </w:p>
    <w:p w:rsidR="00807EDB" w:rsidRPr="00807EDB" w:rsidRDefault="00807EDB" w:rsidP="00807EDB">
      <w:pPr>
        <w:spacing w:line="240" w:lineRule="exact"/>
        <w:ind w:firstLine="567"/>
        <w:jc w:val="both"/>
        <w:rPr>
          <w:b/>
          <w:bCs/>
          <w:sz w:val="24"/>
          <w:szCs w:val="24"/>
        </w:rPr>
      </w:pPr>
      <w:r w:rsidRPr="00807EDB">
        <w:rPr>
          <w:b/>
          <w:bCs/>
          <w:sz w:val="24"/>
          <w:szCs w:val="24"/>
        </w:rPr>
        <w:t>“Madde 48-Sözleşmenin yürütülmesinde çalıştırılacak teknik personel</w:t>
      </w:r>
    </w:p>
    <w:p w:rsidR="00807EDB" w:rsidRPr="00807EDB" w:rsidRDefault="00807EDB" w:rsidP="00807EDB">
      <w:pPr>
        <w:widowControl w:val="0"/>
        <w:spacing w:line="240" w:lineRule="exact"/>
        <w:ind w:firstLine="567"/>
        <w:jc w:val="both"/>
        <w:rPr>
          <w:sz w:val="24"/>
          <w:szCs w:val="24"/>
        </w:rPr>
      </w:pPr>
      <w:r w:rsidRPr="00807EDB">
        <w:rPr>
          <w:b/>
          <w:bCs/>
          <w:sz w:val="24"/>
          <w:szCs w:val="24"/>
        </w:rPr>
        <w:t>48.1.</w:t>
      </w:r>
      <w:r w:rsidRPr="00807EDB">
        <w:rPr>
          <w:sz w:val="24"/>
          <w:szCs w:val="24"/>
        </w:rPr>
        <w:t> İhale konusu işte çalıştırılması öngörülen teknik personelin nitelik ve sayısının sözleşme tasarısında belirtilmesi gerekmektedir. Ancak, Uygulama Yönetmeliğinin “İstenecek belgeler” başlıklı 30 uncu maddesinin birinci fıkrasının (f) bendinde yer alan “Aday veya isteklilerden ihale ve ön yeterliğe katılım için taahhütname istenemez” hükmü gereğince aday veya isteklilerden söz konusu teknik personele ilişkin taahhütname istenmeyecektir. İhale üzerinde kalan isteklinin, teknik personelin idarece öngörülen nitelik ve sayıda olduğuna dair belgeleri, yer tesliminin yapıldığı tarihten itibaren beş gün içinde idareye sunması gerekmektedir.</w:t>
      </w:r>
    </w:p>
    <w:p w:rsidR="00807EDB" w:rsidRPr="00807EDB" w:rsidRDefault="00807EDB" w:rsidP="00807EDB">
      <w:pPr>
        <w:widowControl w:val="0"/>
        <w:spacing w:line="240" w:lineRule="exact"/>
        <w:ind w:firstLine="567"/>
        <w:jc w:val="both"/>
        <w:rPr>
          <w:sz w:val="24"/>
          <w:szCs w:val="24"/>
        </w:rPr>
      </w:pPr>
      <w:r w:rsidRPr="00807EDB">
        <w:rPr>
          <w:b/>
          <w:bCs/>
          <w:sz w:val="24"/>
          <w:szCs w:val="24"/>
        </w:rPr>
        <w:t>48.2.</w:t>
      </w:r>
      <w:r w:rsidRPr="00807EDB">
        <w:rPr>
          <w:sz w:val="24"/>
          <w:szCs w:val="24"/>
        </w:rPr>
        <w:t xml:space="preserve"> Yapım işlerine ait tip sözleşmenin “Teknik personel, makine, teçhizat ve ekipman bulundurulması” başlıklı 23 üncü maddesine göre; teknik personelin iş programına göre, işin kendi mesleğine ilişkin kısmının gerçekleştirilmesi sırasında işyerinde bulundurulması gerekmekte olup teknik personelin tamamının işin başlangıcından sonuna kadar iş yerinde devamlı olarak bulundurulma zorunluluğu bulunmamaktadır.”</w:t>
      </w:r>
    </w:p>
    <w:p w:rsidR="00807EDB" w:rsidRPr="00807EDB" w:rsidRDefault="00807EDB" w:rsidP="00807EDB">
      <w:pPr>
        <w:widowControl w:val="0"/>
        <w:spacing w:line="240" w:lineRule="exact"/>
        <w:ind w:firstLine="567"/>
        <w:jc w:val="both"/>
        <w:rPr>
          <w:sz w:val="24"/>
          <w:szCs w:val="24"/>
        </w:rPr>
      </w:pPr>
      <w:r w:rsidRPr="00807EDB">
        <w:rPr>
          <w:b/>
          <w:bCs/>
          <w:sz w:val="24"/>
          <w:szCs w:val="24"/>
        </w:rPr>
        <w:lastRenderedPageBreak/>
        <w:t>MADDE 19 - </w:t>
      </w:r>
      <w:r w:rsidRPr="00807EDB">
        <w:rPr>
          <w:sz w:val="24"/>
          <w:szCs w:val="24"/>
        </w:rPr>
        <w:t>Aynı Tebliğin 50.1.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sz w:val="24"/>
          <w:szCs w:val="24"/>
        </w:rPr>
        <w:t>“</w:t>
      </w:r>
      <w:r w:rsidRPr="00807EDB">
        <w:rPr>
          <w:b/>
          <w:bCs/>
          <w:sz w:val="24"/>
          <w:szCs w:val="24"/>
        </w:rPr>
        <w:t>50.1.</w:t>
      </w:r>
      <w:r w:rsidRPr="00807EDB">
        <w:rPr>
          <w:sz w:val="24"/>
          <w:szCs w:val="24"/>
        </w:rPr>
        <w:t xml:space="preserve"> İhale konusu işte kısmi kabul yapılmasının öngörülmesi halinde, müstakil kullanımına elverişli iş kısımları ve bu iş kısımlarının bitirme tarihlerinin sözleşme tasarısında belirtilmesi gerekmektedir. Ancak sözleşmesinde kısmi kabul yapılması öngörülmemekle birlikte, işin yürütülmesi sırasında önceden öngörülemeyen zorunlu nedenlerle ihtiyaç görülmesi durumunda Yapım İşleri Genel Şartnamesinin ilgili hükümleri uyarınca kısmi kabul yapılması mümkündür.”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20 - </w:t>
      </w:r>
      <w:r w:rsidRPr="00807EDB">
        <w:rPr>
          <w:sz w:val="24"/>
          <w:szCs w:val="24"/>
        </w:rPr>
        <w:t>Aynı Tebliğin 53 üncü maddesi başlığıyla birlikte aşağıdaki şekilde değiştirilmiştir.</w:t>
      </w:r>
    </w:p>
    <w:p w:rsidR="00807EDB" w:rsidRPr="00807EDB" w:rsidRDefault="00807EDB" w:rsidP="00807EDB">
      <w:pPr>
        <w:widowControl w:val="0"/>
        <w:spacing w:line="240" w:lineRule="exact"/>
        <w:ind w:firstLine="567"/>
        <w:jc w:val="both"/>
        <w:rPr>
          <w:b/>
          <w:bCs/>
          <w:sz w:val="24"/>
          <w:szCs w:val="24"/>
        </w:rPr>
      </w:pPr>
      <w:r w:rsidRPr="00807EDB">
        <w:rPr>
          <w:b/>
          <w:bCs/>
          <w:sz w:val="24"/>
          <w:szCs w:val="24"/>
        </w:rPr>
        <w:t>“Madde 53-Yapım işlerine ilişkin diğer hususlar</w:t>
      </w:r>
    </w:p>
    <w:p w:rsidR="00807EDB" w:rsidRPr="00807EDB" w:rsidRDefault="00807EDB" w:rsidP="00807EDB">
      <w:pPr>
        <w:widowControl w:val="0"/>
        <w:spacing w:line="240" w:lineRule="exact"/>
        <w:ind w:firstLine="567"/>
        <w:jc w:val="both"/>
        <w:rPr>
          <w:b/>
          <w:bCs/>
          <w:sz w:val="24"/>
          <w:szCs w:val="24"/>
        </w:rPr>
      </w:pPr>
      <w:r w:rsidRPr="00807EDB">
        <w:rPr>
          <w:b/>
          <w:bCs/>
          <w:sz w:val="24"/>
          <w:szCs w:val="24"/>
        </w:rPr>
        <w:t>53.1. 1/1/2003 tarihinden önce ihale edilmiş ve devam etmekte olan yapım işlerinde meydana gelen iş artışlarının durumu</w:t>
      </w:r>
    </w:p>
    <w:p w:rsidR="00807EDB" w:rsidRPr="00807EDB" w:rsidRDefault="00807EDB" w:rsidP="00807EDB">
      <w:pPr>
        <w:widowControl w:val="0"/>
        <w:spacing w:line="240" w:lineRule="exact"/>
        <w:ind w:firstLine="567"/>
        <w:jc w:val="both"/>
        <w:rPr>
          <w:sz w:val="24"/>
          <w:szCs w:val="24"/>
        </w:rPr>
      </w:pPr>
      <w:r w:rsidRPr="00807EDB">
        <w:rPr>
          <w:b/>
          <w:bCs/>
          <w:sz w:val="24"/>
          <w:szCs w:val="24"/>
        </w:rPr>
        <w:t>53.1.1.</w:t>
      </w:r>
      <w:r w:rsidRPr="00807EDB">
        <w:rPr>
          <w:sz w:val="24"/>
          <w:szCs w:val="24"/>
        </w:rPr>
        <w:t xml:space="preserve"> 2886 sayılı Devlet İhale Kanununun 63 üncü maddesinin birinci ve ikinci fıkralarında; </w:t>
      </w:r>
      <w:r w:rsidRPr="00807EDB">
        <w:rPr>
          <w:i/>
          <w:iCs/>
          <w:sz w:val="24"/>
          <w:szCs w:val="24"/>
        </w:rPr>
        <w:t xml:space="preserve">“Yapım işlerine ait bir sözleşmenin uygulanması sırasında keşif ve sözleşmede öngörülmeyen iş artışı veya eksilişi zorunlu hale gelirse, müteahhit, keşif bedelinin % 30 oranına kadar olan değişikliği, süre hariç, sözleşme ve şartnamesindeki hükümler dairesinde yapmakla yükümlüdür. Keşif bedeli artışının % 30'u geçmesi halinde sözleşme feshedilir. Ancak, bu durumda müteahhit işin keşif bedeli ve % 30 keşif artışının karşılığı işleri sözleşme ve şartnamesindeki hükümler çerçevesinde yapmaya zorunludur. Taahhüdün % 30 keşif artışı ile bitmemesi ve tasfiye edilmesi halinde müteahhit, idareden hiçbir masraf ve tazminat isteyemez. % 30 oranından fazla artış; temel, tünel ve benzeri işler ile tabii afetler gibi nedenlerden ileri gelmiş ise; idarenin isteği, müteahhidin kabulü ve ilgili bakanın onayı ile süre hariç, aynı sözleşme ve şartname hükümleri içinde % 30'u geçen işler de aynı müteahhide yaptırılabilir.” </w:t>
      </w:r>
      <w:r w:rsidRPr="00807EDB">
        <w:rPr>
          <w:sz w:val="24"/>
          <w:szCs w:val="24"/>
        </w:rPr>
        <w:t>denilmekte olup, 2886 sayılı Kanun kapsamında yer almayan idarelerin 4734 sayılı Kanundan önce tabi oldukları kendi ihale mevzuatlarında da benzer düzenlemeler bulunmaktadır. Diğer taraftan 4734 sayılı Kanunun geçici 2 nci maddesinde;</w:t>
      </w:r>
      <w:r w:rsidRPr="00807EDB">
        <w:rPr>
          <w:i/>
          <w:iCs/>
          <w:sz w:val="24"/>
          <w:szCs w:val="24"/>
        </w:rPr>
        <w:t>“Bu Kanunun yürürlüğe girdiği tarihten önce ihale edileceği yazılı olarak duyurulmuş veya ilân edilmiş olan işler ilgili olduğu kanun ve usullere göre sonuçlandırılır.”</w:t>
      </w:r>
      <w:r w:rsidRPr="00807EDB">
        <w:rPr>
          <w:sz w:val="24"/>
          <w:szCs w:val="24"/>
        </w:rPr>
        <w:t xml:space="preserve"> hükmü yer almaktadır. Anılan hükümler uyarınca; bu nitelikteki işlerin ilgili oldukları mevzuatta, yeniden ihale yapılmaksızın işin tamamlattırılmasına yönelik düzenlemelerin bulunması halinde idarelerce bu düzenlemelere göre işlem yapılabilecektir.</w:t>
      </w:r>
    </w:p>
    <w:p w:rsidR="00807EDB" w:rsidRPr="00807EDB" w:rsidRDefault="00807EDB" w:rsidP="00807EDB">
      <w:pPr>
        <w:widowControl w:val="0"/>
        <w:spacing w:line="240" w:lineRule="exact"/>
        <w:ind w:firstLine="567"/>
        <w:jc w:val="both"/>
        <w:rPr>
          <w:b/>
          <w:bCs/>
          <w:sz w:val="24"/>
          <w:szCs w:val="24"/>
        </w:rPr>
      </w:pPr>
      <w:r w:rsidRPr="00807EDB">
        <w:rPr>
          <w:b/>
          <w:bCs/>
          <w:sz w:val="24"/>
          <w:szCs w:val="24"/>
        </w:rPr>
        <w:t>53.2. Belli istekliler arasında ihale usulünde yapılacak puanlamada dikkat edilecek hususlar</w:t>
      </w:r>
    </w:p>
    <w:p w:rsidR="00807EDB" w:rsidRPr="00807EDB" w:rsidRDefault="00807EDB" w:rsidP="00807EDB">
      <w:pPr>
        <w:widowControl w:val="0"/>
        <w:spacing w:line="240" w:lineRule="exact"/>
        <w:ind w:firstLine="567"/>
        <w:jc w:val="both"/>
        <w:rPr>
          <w:sz w:val="24"/>
          <w:szCs w:val="24"/>
        </w:rPr>
      </w:pPr>
      <w:r w:rsidRPr="00807EDB">
        <w:rPr>
          <w:b/>
          <w:bCs/>
          <w:sz w:val="24"/>
          <w:szCs w:val="24"/>
        </w:rPr>
        <w:t>53.2.1.</w:t>
      </w:r>
      <w:r w:rsidRPr="00807EDB">
        <w:rPr>
          <w:sz w:val="24"/>
          <w:szCs w:val="24"/>
        </w:rPr>
        <w:t xml:space="preserve"> Ekonomik ve mali kapasite için yapılacak olan puanlamada ihalenin yapıldığı yıldan önceki yıla ilişkin olarak yönetmelikte belirtilen asgari yeterlik kriterlerini sağladığı halde yönetmelikte izin verilen birden fazla yıla ilişkin belgelerin sunulması ve ihalenin yapıldığı yıldan önceki yıla ilişkin belge ile tam puan alınabildiği durumda diğer yıllara ait belgeler değerlendirilmez.</w:t>
      </w:r>
    </w:p>
    <w:p w:rsidR="00807EDB" w:rsidRPr="00807EDB" w:rsidRDefault="00807EDB" w:rsidP="00807EDB">
      <w:pPr>
        <w:widowControl w:val="0"/>
        <w:spacing w:line="240" w:lineRule="exact"/>
        <w:ind w:firstLine="567"/>
        <w:jc w:val="both"/>
        <w:rPr>
          <w:sz w:val="24"/>
          <w:szCs w:val="24"/>
        </w:rPr>
      </w:pPr>
      <w:r w:rsidRPr="00807EDB">
        <w:rPr>
          <w:b/>
          <w:bCs/>
          <w:sz w:val="24"/>
          <w:szCs w:val="24"/>
        </w:rPr>
        <w:t>53.2.2.</w:t>
      </w:r>
      <w:r w:rsidRPr="00807EDB">
        <w:rPr>
          <w:sz w:val="24"/>
          <w:szCs w:val="24"/>
        </w:rPr>
        <w:t xml:space="preserve"> Birden fazla meslek alanına ilişkin anahtar teknik personel istenilen ihalelerde, tam puan için gereken anahtar teknik personel sayısı, her bir meslek alanı için ayrı ayrı sağlanmalıdır. Örneğin anahtar teknik personel olarak 1 inşaat mühendisi ve 1 makine mühendisi istenilen bir ihalede, ön yeterlik şartnamesinde anahtar teknik personel için 10 puan verileceği ön görülmüş ise 10 tam puan alabilmek için adayın 2 inşaat mühendisi ve 2 makine mühendisi bildirmesi gerekmektedir. Ara değerler için doğrusal orantılama yapılacaktır.”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21 - </w:t>
      </w:r>
      <w:r w:rsidRPr="00807EDB">
        <w:rPr>
          <w:sz w:val="24"/>
          <w:szCs w:val="24"/>
        </w:rPr>
        <w:t>Aynı Tebliğe 55.3. maddesinden sonra gelmek üzere aşağıdaki madde eklenmiştir.</w:t>
      </w:r>
    </w:p>
    <w:p w:rsidR="00807EDB" w:rsidRPr="00807EDB" w:rsidRDefault="00807EDB" w:rsidP="00807EDB">
      <w:pPr>
        <w:widowControl w:val="0"/>
        <w:spacing w:line="240" w:lineRule="exact"/>
        <w:ind w:firstLine="567"/>
        <w:jc w:val="both"/>
        <w:rPr>
          <w:sz w:val="24"/>
          <w:szCs w:val="24"/>
        </w:rPr>
      </w:pPr>
      <w:r w:rsidRPr="00807EDB">
        <w:rPr>
          <w:sz w:val="24"/>
          <w:szCs w:val="24"/>
        </w:rPr>
        <w:t>“</w:t>
      </w:r>
      <w:r w:rsidRPr="00807EDB">
        <w:rPr>
          <w:b/>
          <w:bCs/>
          <w:sz w:val="24"/>
          <w:szCs w:val="24"/>
        </w:rPr>
        <w:t>55.4.</w:t>
      </w:r>
      <w:r w:rsidRPr="00807EDB">
        <w:rPr>
          <w:sz w:val="24"/>
          <w:szCs w:val="24"/>
        </w:rPr>
        <w:t xml:space="preserve"> Yetkili kurum ve kuruluşlar tarafından özürlü vatandaşların kamu hizmetlerinden daha etkin yararlanabilmesi için alım konusu mala yönelik teknik düzenlemeler yapılmış ise teknik şartnamenin hazırlanmasında bu düzenlemeler de esas alınır.”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22 - </w:t>
      </w:r>
      <w:r w:rsidRPr="00807EDB">
        <w:rPr>
          <w:sz w:val="24"/>
          <w:szCs w:val="24"/>
        </w:rPr>
        <w:t>Aynı Tebliğin 61.5.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“61.5. </w:t>
      </w:r>
      <w:r w:rsidRPr="00807EDB">
        <w:rPr>
          <w:sz w:val="24"/>
          <w:szCs w:val="24"/>
        </w:rPr>
        <w:t>Petrol piyasası  mevzuatındaki hükümler çerçevesinde madeni yağ satışına ilişkin bir lisans belgesine ihtiyaç duyulmadığından madeni yağ alım ihalelerinde madeni yağ satışına ilişkin bir lisans istenmeyecektir.”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lastRenderedPageBreak/>
        <w:t>MADDE 23 - </w:t>
      </w:r>
      <w:r w:rsidRPr="00807EDB">
        <w:rPr>
          <w:sz w:val="24"/>
          <w:szCs w:val="24"/>
        </w:rPr>
        <w:t>Aynı Tebliğin 67.2.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“67.2.</w:t>
      </w:r>
      <w:r w:rsidRPr="00807EDB">
        <w:rPr>
          <w:sz w:val="24"/>
          <w:szCs w:val="24"/>
        </w:rPr>
        <w:t> İdarelerce, özel güvenlik hizmet alımı ihalelerinde idari şartnamenin “İhaleye Katılabilmek İçin Gereken Belgeler ve Yeterlik Kriterleri” başlıklı maddesinin “İhale konusu işin yerine getirilmesi için alınması zorunlu olan ve ilgili mevzuatında o iş için özel olarak düzenlenen sicil, izin, ruhsat vb. belgelerin” istenilmesine ilişkin alt maddesinde, Özel Güvenlik Şirketi Faaliyet İzin Belgesine yer verilmesi gerekmekte olup, ihaleye teklif veren şirketin ortakları ile bu şirketin teklif kapsamında sunduğu Özel Güvenlik Şirketi Faaliyet İzin Belgesinde isimleri yer alan şirket ortaklarının aynı kişiler olması zorunludur.”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24 - </w:t>
      </w:r>
      <w:r w:rsidRPr="00807EDB">
        <w:rPr>
          <w:sz w:val="24"/>
          <w:szCs w:val="24"/>
        </w:rPr>
        <w:t>Aynı Tebliğin 67.5.5. maddesi yürürlükten kaldırılmıştır.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25 - </w:t>
      </w:r>
      <w:r w:rsidRPr="00807EDB">
        <w:rPr>
          <w:sz w:val="24"/>
          <w:szCs w:val="24"/>
        </w:rPr>
        <w:t>Aynı Tebliğin 72.6. maddesi aşağıdaki şekilde değiştirilmiştir.</w:t>
      </w:r>
    </w:p>
    <w:p w:rsidR="00807EDB" w:rsidRPr="00807EDB" w:rsidRDefault="00807EDB" w:rsidP="00807EDB">
      <w:pPr>
        <w:widowControl w:val="0"/>
        <w:spacing w:line="240" w:lineRule="exact"/>
        <w:ind w:firstLine="567"/>
        <w:jc w:val="both"/>
        <w:rPr>
          <w:rFonts w:eastAsia="ヒラギノ明朝Pro W3"/>
          <w:sz w:val="24"/>
          <w:szCs w:val="24"/>
        </w:rPr>
      </w:pPr>
      <w:r w:rsidRPr="00807EDB">
        <w:rPr>
          <w:b/>
          <w:bCs/>
          <w:sz w:val="24"/>
          <w:szCs w:val="24"/>
        </w:rPr>
        <w:t>“72.6.</w:t>
      </w:r>
      <w:r w:rsidRPr="00807EDB">
        <w:rPr>
          <w:sz w:val="24"/>
          <w:szCs w:val="24"/>
        </w:rPr>
        <w:t xml:space="preserve"> Alt yüklenicilerin iş bitirme belgesi almak amacıyla iş sahibi idareye yapacakları başvurularda; yüklenici ile alt yüklenici arasında imzalanan bedel içeren sözleşmenin ve bu sözleşme kapsamında düzenlenen fatura örneklerinin veya bu örneklerin noter, YMM, SMMM veya vergi dairesi onaylı suretlerinin veya serbest meslek makbuzu nüshalarının ya da bu nüshaların noter, YMM, SMMM veya vergi dairesi onaylı suretlerinin, </w:t>
      </w:r>
      <w:r w:rsidRPr="00807EDB">
        <w:rPr>
          <w:rFonts w:eastAsia="ヒラギノ明朝Pro W3"/>
          <w:sz w:val="24"/>
          <w:szCs w:val="24"/>
        </w:rPr>
        <w:t>personel çalıştırılan işlerde ise bu belgelere ek olarak alt yüklenici ile yüklenici arasında imzalanan sözleşme konusu işte personel çalıştırıldığını gösteren Sosyal Güvenlik Kurumu internet sayfası üzerinden düzenlenmiş ve idarece teyidi yapılabilen belgelerin sunulması gerekmektedir.”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26 - </w:t>
      </w:r>
      <w:r w:rsidRPr="00807EDB">
        <w:rPr>
          <w:sz w:val="24"/>
          <w:szCs w:val="24"/>
        </w:rPr>
        <w:t>Aynı Tebliğin 74.5 maddesi aşağıdaki şekilde değiştirilmiş ve bu maddeden sonra gelmek üzere aşağıdaki maddeler eklenmiştir.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“74.5.</w:t>
      </w:r>
      <w:r w:rsidRPr="00807EDB">
        <w:rPr>
          <w:sz w:val="24"/>
          <w:szCs w:val="24"/>
        </w:rPr>
        <w:t xml:space="preserve"> Hizmet alımı ihalelerinde kalite yönetim sistem belgesi ve/veya çevre yönetim sistem belgesinin istenip istenmeyeceği, 74.7. maddesindeki açıklama ve aşağıdaki esaslara uygun olarak idarelerce belirlenecektir.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74.5.1. </w:t>
      </w:r>
      <w:r w:rsidRPr="00807EDB">
        <w:rPr>
          <w:sz w:val="24"/>
          <w:szCs w:val="24"/>
        </w:rPr>
        <w:t>İdarelerin kendi hizmet binalarında veya diğer görev sahalarında gerçekleştirilen hizmet alımı ihaleleri (örneğin; temizlik, özel güvenlik, hasta ve ziyaretçi yönlendirme, veri işleme ve otomasyon sisteminin işletimi, yemek hazırlama ve dağıtım hizmetleri gibi) ile personel/ öğrenci taşıma hizmetleri ve araç kiralama hizmet alımı ihalelerinde kalite yönetim sistem belgesi istenmeyecektir.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 xml:space="preserve">74.5.2. </w:t>
      </w:r>
      <w:r w:rsidRPr="00807EDB">
        <w:rPr>
          <w:sz w:val="24"/>
          <w:szCs w:val="24"/>
        </w:rPr>
        <w:t> İdarelerin kendi hizmet binalarında veya diğer görev sahalarında gerçekleştirilen hizmetler (örneğin; temizlik, özel güvenlik, hasta ve ziyaretçi yönlendirme, veri işleme ve otomasyon sisteminin işletimi, yemek hazırlama ve dağıtım hizmetleri gibi) ile niteliği gereği çevre yönetim sistem belgesi istenmesi uygun olmayan hizmet alımı ihalelerinde (personel ve öğrenci taşıma hizmetleri, araç kiralama, mesleki eğitim, toplantı ve organizasyon hizmetleri gibi) çevre yönetim sistem belgesi istenmeyecektir.”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27 - </w:t>
      </w:r>
      <w:r w:rsidRPr="00807EDB">
        <w:rPr>
          <w:sz w:val="24"/>
          <w:szCs w:val="24"/>
        </w:rPr>
        <w:t>Aynı Tebliğin 74.7.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“74.7.</w:t>
      </w:r>
      <w:r w:rsidRPr="00807EDB">
        <w:rPr>
          <w:sz w:val="24"/>
          <w:szCs w:val="24"/>
        </w:rPr>
        <w:t> Çöp toplama ve/veya kent temizliği hizmet alımı ihalelerinde; kalite yönetim sistem belgesi, çevre yönetim sistem belgesi ve İşyerleri-Kent Temizliği Hizmet Yeterlilik Belgesi (TS 13111) istenebilecektir.”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28 - </w:t>
      </w:r>
      <w:r w:rsidRPr="00807EDB">
        <w:rPr>
          <w:sz w:val="24"/>
          <w:szCs w:val="24"/>
        </w:rPr>
        <w:t>Aynı Tebliğin 78.7.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b/>
          <w:bCs/>
          <w:sz w:val="24"/>
          <w:szCs w:val="24"/>
        </w:rPr>
        <w:t>“78.7.</w:t>
      </w:r>
      <w:r w:rsidRPr="00807EDB">
        <w:rPr>
          <w:sz w:val="24"/>
          <w:szCs w:val="24"/>
        </w:rPr>
        <w:t> Yaklaşık maliyet içerisinde yer alan işçilik maliyeti; çalıştırılacak personel sayısı ile brüt asgari ücret tutarı ve bu tutar üzerinden hesaplanan işveren payı dikkate alınarak hesaplanacaktır. İstekliler tarafından yaşlılık aylığı veya emekli aylığı bağlanmış olan personel çalıştırılacağı belirtilmiş olsa dahi işveren paylarının hesabında bu hususlar dikkate alınmayacaktır. İdarelerce yaptırılacak işin niteliği dikkate alınarak brüt asgari ücret veya brüt asgari ücretin yüzde (%) fazlası olarak ücret belirlenebilecek, ancak brüt asgari ücretin işverene maliyetinin (%) fazlası olarak belirleme yapılmayacaktır.”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29 - </w:t>
      </w:r>
      <w:r w:rsidRPr="00807EDB">
        <w:rPr>
          <w:sz w:val="24"/>
          <w:szCs w:val="24"/>
        </w:rPr>
        <w:t>Aynı Tebliğin 78.12. maddesi aşağıdaki şekilde değiştirilmiştir.</w:t>
      </w:r>
    </w:p>
    <w:p w:rsidR="00807EDB" w:rsidRPr="00807EDB" w:rsidRDefault="00807EDB" w:rsidP="00807EDB">
      <w:pPr>
        <w:widowControl w:val="0"/>
        <w:spacing w:line="240" w:lineRule="exact"/>
        <w:ind w:firstLine="567"/>
        <w:jc w:val="both"/>
        <w:rPr>
          <w:sz w:val="24"/>
          <w:szCs w:val="24"/>
        </w:rPr>
      </w:pPr>
      <w:r w:rsidRPr="00807EDB">
        <w:rPr>
          <w:sz w:val="24"/>
          <w:szCs w:val="24"/>
        </w:rPr>
        <w:t>“</w:t>
      </w:r>
      <w:r w:rsidRPr="00807EDB">
        <w:rPr>
          <w:b/>
          <w:bCs/>
          <w:sz w:val="24"/>
          <w:szCs w:val="24"/>
        </w:rPr>
        <w:t>78.12.</w:t>
      </w:r>
      <w:r w:rsidRPr="00807EDB">
        <w:rPr>
          <w:sz w:val="24"/>
          <w:szCs w:val="24"/>
        </w:rPr>
        <w:t xml:space="preserve"> İhale konusu işin niteliği dikkate alınarak işçi sayısı üzerinden teklif alınması idarece uygun görülmeyen iş kalemleri hariç, birim fiyat teklif cetvelindeki işçilik kalemleri için (işçi x ay) üzerinden teklif alınması zorunludur. Ancak, işin başlama tarihi ile bitiş tarihi arasında, hafta tatili ve genel tatil günleri dahil 30 günden daha kısa süreli çalışma yapılması </w:t>
      </w:r>
      <w:r w:rsidRPr="00807EDB">
        <w:rPr>
          <w:sz w:val="24"/>
          <w:szCs w:val="24"/>
        </w:rPr>
        <w:lastRenderedPageBreak/>
        <w:t>öngörülen aylar ile takvim yılına göre 29 veya 28 günden daha kısa süreli çalışma yapılması öngörülen Şubat ayı için (işçi x gün) üzerinden teklif alınacaktır.”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30 - </w:t>
      </w:r>
      <w:r w:rsidRPr="00807EDB">
        <w:rPr>
          <w:sz w:val="24"/>
          <w:szCs w:val="24"/>
        </w:rPr>
        <w:t>Aynı Tebliğin 79.1. maddesinde yer alan “işçilik hesaplama modülü kullanılarak” ibaresi yürürlükten kaldırılmıştır.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31 - </w:t>
      </w:r>
      <w:r w:rsidRPr="00807EDB">
        <w:rPr>
          <w:sz w:val="24"/>
          <w:szCs w:val="24"/>
        </w:rPr>
        <w:t>Aynı Tebliğin 80 inci maddesi başlığıyla birlikte aşağıdaki şekilde değiştirilmiştir.</w:t>
      </w:r>
    </w:p>
    <w:p w:rsidR="00807EDB" w:rsidRPr="00807EDB" w:rsidRDefault="00807EDB" w:rsidP="00807EDB">
      <w:pPr>
        <w:widowControl w:val="0"/>
        <w:spacing w:line="240" w:lineRule="exact"/>
        <w:ind w:firstLine="567"/>
        <w:jc w:val="both"/>
        <w:rPr>
          <w:b/>
          <w:bCs/>
          <w:sz w:val="24"/>
          <w:szCs w:val="24"/>
        </w:rPr>
      </w:pPr>
      <w:r w:rsidRPr="00807EDB">
        <w:rPr>
          <w:b/>
          <w:bCs/>
          <w:sz w:val="24"/>
          <w:szCs w:val="24"/>
        </w:rPr>
        <w:t>“Madde 80- Hizmet alımlarında işin süresi, işe başlama ve iş bitirme tarihi</w:t>
      </w:r>
    </w:p>
    <w:p w:rsidR="00807EDB" w:rsidRPr="00807EDB" w:rsidRDefault="00807EDB" w:rsidP="00807EDB">
      <w:pPr>
        <w:widowControl w:val="0"/>
        <w:spacing w:line="240" w:lineRule="exact"/>
        <w:ind w:firstLine="567"/>
        <w:jc w:val="both"/>
        <w:rPr>
          <w:sz w:val="24"/>
          <w:szCs w:val="24"/>
        </w:rPr>
      </w:pPr>
      <w:r w:rsidRPr="00807EDB">
        <w:rPr>
          <w:b/>
          <w:bCs/>
          <w:sz w:val="24"/>
          <w:szCs w:val="24"/>
        </w:rPr>
        <w:t>80.1.</w:t>
      </w:r>
      <w:r w:rsidRPr="00807EDB">
        <w:rPr>
          <w:sz w:val="24"/>
          <w:szCs w:val="24"/>
        </w:rPr>
        <w:t xml:space="preserve"> Hizmet Alımı İhalelerinde Uygulanacak Tip İdari Şartnamelerin “Sözleşmenin Uygulanması ve Diğer Hususlar” başlıklı bölümünde işe başlama ve iş bitirme tarihinin sözleşme tasarısında düzenlendiği belirtilmiştir. Bu çerçevede, Hizmet Alımlarına Ait Tip Sözleşmenin konuya ilişkin “İşin süresi” başlıklı 9 uncu maddesi uyarınca, idarenin işe başlama ve iş bitirme tarihlerini kesin olarak öngördüğü hallerde bu tarihler 9.1. maddesine yazılacak, aksi takdirde bu maddede işin süresinin işe başlama tarihinden itibaren kaç gün ya da ay olduğu belirtilecektir. Tip Sözleşmenin 10.2. maddesi ise işyerinin teslimi ve işe başlama tarihine ilişkin olup, söz konusu madde,  9.1. maddesinde işe başlama ve iş bitirme tarihlerinin kesin olarak belirtilip belirtilmediği ve işyeri teslimi yapılıp yapılmayacağı hususları dikkate alınarak idare tarafından düzenlenecektir.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80.2.</w:t>
      </w:r>
      <w:r w:rsidRPr="00807EDB">
        <w:rPr>
          <w:sz w:val="24"/>
          <w:szCs w:val="24"/>
        </w:rPr>
        <w:t xml:space="preserve"> Sözleşme tasarısında işe başlama ve iş bitirme tarihlerinin kesin olarak belirtildiği hallerde, yeterlik değerlendirmesi, tekliflerden aşırı düşük olanların sorgulanması ve açıklama istenmesi, tekliflerin değerlendirilmesi, isteklilerin 10 gün içerisinde şikayette bulunma hakkı ve idarenin bu şikayete 10 gün içinde cevap verme zorunluluğu ile 10 günlük itirazen şikayet ve Kurumun 20 günlük inceleme süresi ihale sürecinin uzamasına sebep olabilmekte ve bu süreler önceden tam olarak öngörülemediği için de sözleşmenin imzalanması ve dolayısıyla işin başlaması planlanan tarihten daha ileri bir tarihte gerçekleşebilmektedir. Bu çerçevede, süreklilik arz eden hizmet alımı ihalesine ait sözleşme tasarısında işe başlama ve iş bitirme tarihlerinin kesin olarak belirtilmesine rağmen ihale sürecinin uzaması nedeniyle dokümanda öngörülen tarihte işe başlanmasını sağlayacak şekilde sözleşmenin imzalanamaması halinde, iş bitirme tarihinin ötelenmesi mümkün bulunmadığından sürenin fiilen kısaldığı dikkate alınarak buna göre işlem yapılması gerekmektedir.”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32 - </w:t>
      </w:r>
      <w:r w:rsidRPr="00807EDB">
        <w:rPr>
          <w:sz w:val="24"/>
          <w:szCs w:val="24"/>
        </w:rPr>
        <w:t>Aynı Tebliğin 86 ncı maddesi aşağıdaki şekilde değiştirilmiştir.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“86.1.</w:t>
      </w:r>
      <w:r w:rsidRPr="00807EDB">
        <w:rPr>
          <w:rFonts w:eastAsia="Calibri"/>
          <w:sz w:val="24"/>
          <w:szCs w:val="24"/>
          <w:lang w:eastAsia="en-US"/>
        </w:rPr>
        <w:t> Danışmanlık Hizmet Alımı İhaleleri Uygulama Yönetmeliğinde, anahtar teknik personel, gerçek veya tüzel kişinin bünyesinde çalışan, ihale konusu işte teknik personel olarak da istihdam edilebilen ve ihale konusu işin uzmanı olan kişi olarak tanımlanmıştır. Bu itibarla, adaylar yaptığı işlerde çalışan kişileri de ihalelerde anahtar teknik personel olarak gösterebileceklerdir.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86.2 </w:t>
      </w:r>
      <w:r w:rsidRPr="00807EDB">
        <w:rPr>
          <w:rFonts w:eastAsia="Calibri"/>
          <w:sz w:val="24"/>
          <w:szCs w:val="24"/>
          <w:lang w:eastAsia="en-US"/>
        </w:rPr>
        <w:t xml:space="preserve"> İdarelerce anahtar teknik personele ilişkin olarak belirlenen asgari yeterlik kriterleri ön yeterlik dokümanında düzenlenecek ve bu asgari şartları sağlayan adaylar yeterli kabul edilecektir.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86.3</w:t>
      </w:r>
      <w:r w:rsidRPr="00807EDB">
        <w:rPr>
          <w:rFonts w:eastAsia="Calibri"/>
          <w:sz w:val="24"/>
          <w:szCs w:val="24"/>
          <w:lang w:eastAsia="en-US"/>
        </w:rPr>
        <w:t xml:space="preserve"> Adayların, ön yeterlik aşamasında anahtar teknik personele ilişkin olarak yeterliklerinin değerlendirilebilmesi için, başvurularının ekinde  “Anahtar Personel Bilgileri Özet Tablosu’nda” sunmaları gerekmektedir (Standart Form-KİK035.0/ D). Bu bildirime, diploma veya mezuniyet belgeleri ile ilgisine göre meslek odası üye kayıt belgesi ve/veya hizmet çizelgesi, adayın bünyesinde çalışmakta olduğunu gösterir Sosyal Güvenlik Kurumu onaylı hizmet bildirimi ve önerilen personelin özgeçmişleri (Standart Form-KİK032.0/D),eklenecektir.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86.4</w:t>
      </w:r>
      <w:r w:rsidRPr="00807EDB">
        <w:rPr>
          <w:rFonts w:eastAsia="Calibri"/>
          <w:sz w:val="24"/>
          <w:szCs w:val="24"/>
          <w:lang w:eastAsia="en-US"/>
        </w:rPr>
        <w:t>. İsteklilerce ön yeterlik aşamasında anahtar teknik personel olarak gösterilen personel, tekliflerin değerlendirilmesi aşamasında da teknik personel olarak gösterebilecek ve ihale konusu işte çalıştırılabilecektir.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86.5.</w:t>
      </w:r>
      <w:r w:rsidRPr="00807EDB">
        <w:rPr>
          <w:rFonts w:eastAsia="Calibri"/>
          <w:sz w:val="24"/>
          <w:szCs w:val="24"/>
          <w:lang w:eastAsia="en-US"/>
        </w:rPr>
        <w:t> İhale konusu danışmanlık hizmetinin yürütülmesi aşamasında istihdam edilecek teknik personele ilişkin olarak istenilen özellikler ve sayıları idari şartnamenin diğer hususlar bölümünde belirtilecektir.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86.6</w:t>
      </w:r>
      <w:r w:rsidRPr="00807EDB">
        <w:rPr>
          <w:sz w:val="24"/>
          <w:szCs w:val="24"/>
        </w:rPr>
        <w:t xml:space="preserve"> İsteklilerin, teknik personele ilişkin olarak yeterliklerinin değerlendirilebilmesi için, teknik tekliflerinin ekinde “Teknik Personel Bilgileri Özet Tablosu’nda” sunmaları gerekmektedir (Standart Form-KİK035.1/ D). Bu bildirime, diploma veya mezuniyet belgeleri ile ilgisine göre meslek odası üye kayıt belgesi ve/veya hizmet çizelgesi ve önerilen </w:t>
      </w:r>
      <w:r w:rsidRPr="00807EDB">
        <w:rPr>
          <w:sz w:val="24"/>
          <w:szCs w:val="24"/>
        </w:rPr>
        <w:lastRenderedPageBreak/>
        <w:t>personelin özgeçmişleri (Standart Form-KİK032.0/D) eklenecektir. Bu personel için isteklinin bünyesinde çalışmakta olduğunu gösterir belgelerin sunulmasına gerek bulunmamaktadır. Bu husus teknik tekliflerin puanlaması aşamasında dikkate alınacaktır.</w:t>
      </w:r>
    </w:p>
    <w:p w:rsidR="00807EDB" w:rsidRPr="00807EDB" w:rsidRDefault="00807EDB" w:rsidP="00807EDB">
      <w:pPr>
        <w:tabs>
          <w:tab w:val="left" w:pos="566"/>
        </w:tabs>
        <w:spacing w:line="240" w:lineRule="exact"/>
        <w:ind w:firstLine="567"/>
        <w:jc w:val="both"/>
        <w:rPr>
          <w:rFonts w:eastAsia="Calibri"/>
          <w:sz w:val="24"/>
          <w:szCs w:val="24"/>
          <w:lang w:eastAsia="en-US"/>
        </w:rPr>
      </w:pPr>
      <w:r w:rsidRPr="00807EDB">
        <w:rPr>
          <w:rFonts w:eastAsia="Calibri"/>
          <w:b/>
          <w:bCs/>
          <w:sz w:val="24"/>
          <w:szCs w:val="24"/>
          <w:lang w:eastAsia="en-US"/>
        </w:rPr>
        <w:t>86.7</w:t>
      </w:r>
      <w:r w:rsidRPr="00807EDB">
        <w:rPr>
          <w:rFonts w:eastAsia="Calibri"/>
          <w:sz w:val="24"/>
          <w:szCs w:val="24"/>
          <w:lang w:eastAsia="en-US"/>
        </w:rPr>
        <w:t> Anahtar teknik ve teknik personele ilişkin değerlendirmede özel sektörde geçen toplam deneyim süresi ilgili meslek odası üye kayıt belgesiyle, kamuda geçen toplam deneyim süresi hizmet çizelgesi ve/veya meslek odası üye kayıt belgesiyle; danışmanlık hizmet işleri ile ihale konusu iş ve benzer işlere ilişkin mesleki deneyimi özgeçmiş formuyla değerlendirilecektir. İdarelerce özgeçmiş formunda yer alan bilgilerin tevsiki için adaylardan başvurularının ekinde herhangi bir belge sunulması istenilmeyecektir. Özgeçmiş formunda yer alan bilgiler de herhangi bir tereddüt oluşması durumunda, idareler ve ihale komisyonlarınca tereddütlerin giderilmesi için gerekli bilgi ve belgeler aday ve isteklilerden istenebilecektir.</w:t>
      </w:r>
    </w:p>
    <w:p w:rsidR="00807EDB" w:rsidRPr="00807EDB" w:rsidRDefault="00807EDB" w:rsidP="00807EDB">
      <w:pPr>
        <w:widowControl w:val="0"/>
        <w:spacing w:line="240" w:lineRule="exact"/>
        <w:ind w:firstLine="567"/>
        <w:jc w:val="both"/>
        <w:rPr>
          <w:sz w:val="24"/>
          <w:szCs w:val="24"/>
        </w:rPr>
      </w:pPr>
      <w:r w:rsidRPr="00807EDB">
        <w:rPr>
          <w:b/>
          <w:bCs/>
          <w:sz w:val="24"/>
          <w:szCs w:val="24"/>
        </w:rPr>
        <w:t>86.8. </w:t>
      </w:r>
      <w:r w:rsidRPr="00807EDB">
        <w:rPr>
          <w:sz w:val="24"/>
          <w:szCs w:val="24"/>
        </w:rPr>
        <w:t>Yönetmeliğin 39 uncu maddesinin sekizinci fıkrasındaki; “Bu niteliklere sahip gerçek kişi istekliler, şahıs şirketi ortakları, limited şirketlerde müdürlük görevini yürüten ortaklar, anonim şirketlerin yönetim kurulu başkanı, yönetim kurulu üyeleri, murahhas müdür ve genel müdür ortakları, ortak girişimlerin ise gerçek kişi ortakları ve tüzel kişi ortaklarının yukarıda sayılan unvanları taşıyan gerçek kişi ortaklarının, anahtar teknik personel olarak bildirilmesi durumunda, isteklinin bünyesinde çalıştığına dair belge aranmaz.” hükmünde yer alan, “limited şirketlerde müdürlük görevini yürüten ortaklar” ibaresinden, temsil yetkisi verilen müdür veya müdürlerin anlaşılması gerekmektedir. Tüzel kişilerdeki diğer mühendis veya mimar ortakların, anahtar teknik personel olarak gösterilebilmesi için bu kişilerin isteklinin bünyesinde çalıştığının Sosyal Güvenlik Kurumu onaylı hizmet bildirimi ile tevsik edilmesi zorunludur.”</w:t>
      </w:r>
    </w:p>
    <w:p w:rsidR="00807EDB" w:rsidRDefault="00807EDB" w:rsidP="00807EDB">
      <w:pPr>
        <w:widowControl w:val="0"/>
        <w:spacing w:line="240" w:lineRule="exact"/>
        <w:ind w:firstLine="567"/>
        <w:jc w:val="both"/>
        <w:rPr>
          <w:b/>
          <w:bCs/>
          <w:sz w:val="24"/>
          <w:szCs w:val="24"/>
        </w:rPr>
      </w:pPr>
    </w:p>
    <w:p w:rsidR="00807EDB" w:rsidRPr="00807EDB" w:rsidRDefault="00807EDB" w:rsidP="00807EDB">
      <w:pPr>
        <w:widowControl w:val="0"/>
        <w:spacing w:line="240" w:lineRule="exact"/>
        <w:ind w:firstLine="567"/>
        <w:jc w:val="both"/>
        <w:rPr>
          <w:sz w:val="24"/>
          <w:szCs w:val="24"/>
        </w:rPr>
      </w:pPr>
      <w:r w:rsidRPr="00807EDB">
        <w:rPr>
          <w:b/>
          <w:bCs/>
          <w:sz w:val="24"/>
          <w:szCs w:val="24"/>
        </w:rPr>
        <w:t>MADDE 33 - </w:t>
      </w:r>
      <w:r w:rsidRPr="00807EDB">
        <w:rPr>
          <w:sz w:val="24"/>
          <w:szCs w:val="24"/>
        </w:rPr>
        <w:t>Aynı Tebliğin 89.2.1. maddesindeki “(Standart Form-KİK033.0/D, KİK033.1/D)” ibaresi “(Standart Form-KİK033.0/D)” olarak ve “(Standart Form-KİK033.1/D, KİK033.2/D, KİK033.3/D)” ibaresi ise “(Standart Form-KİK034.1/D, KİK034.2/D, KİK034.3/D)” olarak değiştirilmiştir.</w:t>
      </w:r>
    </w:p>
    <w:p w:rsidR="00807EDB" w:rsidRDefault="00807EDB" w:rsidP="00807EDB">
      <w:pPr>
        <w:spacing w:line="240" w:lineRule="exact"/>
        <w:ind w:firstLine="567"/>
        <w:jc w:val="both"/>
        <w:rPr>
          <w:b/>
          <w:bCs/>
          <w:sz w:val="24"/>
          <w:szCs w:val="24"/>
        </w:rPr>
      </w:pPr>
    </w:p>
    <w:p w:rsidR="00807EDB" w:rsidRPr="00807EDB" w:rsidRDefault="00807EDB" w:rsidP="00807EDB">
      <w:pPr>
        <w:spacing w:line="240" w:lineRule="exact"/>
        <w:ind w:firstLine="567"/>
        <w:jc w:val="both"/>
        <w:rPr>
          <w:sz w:val="24"/>
          <w:szCs w:val="24"/>
          <w:lang w:eastAsia="en-US"/>
        </w:rPr>
      </w:pPr>
      <w:r w:rsidRPr="00807EDB">
        <w:rPr>
          <w:b/>
          <w:bCs/>
          <w:sz w:val="24"/>
          <w:szCs w:val="24"/>
        </w:rPr>
        <w:t>MADDE 34 – </w:t>
      </w:r>
      <w:r w:rsidRPr="00807EDB">
        <w:rPr>
          <w:sz w:val="24"/>
          <w:szCs w:val="24"/>
        </w:rPr>
        <w:t>Aynı Tebliğin eki “</w:t>
      </w:r>
      <w:r w:rsidRPr="00807EDB">
        <w:rPr>
          <w:sz w:val="24"/>
          <w:szCs w:val="24"/>
          <w:lang w:eastAsia="en-US"/>
        </w:rPr>
        <w:t>Ek-H.1 Hizmet Alımı İhaleleri Uygulama Yönetmeliğine göre istenilecek belgeler” tablosunun (1) numaralı dipnotu aşağıdaki şekilde değiştirilmiştir.</w:t>
      </w:r>
    </w:p>
    <w:p w:rsidR="00807EDB" w:rsidRPr="00807EDB" w:rsidRDefault="00807EDB" w:rsidP="00807EDB">
      <w:pPr>
        <w:spacing w:line="240" w:lineRule="exact"/>
        <w:ind w:firstLine="567"/>
        <w:jc w:val="both"/>
        <w:rPr>
          <w:sz w:val="24"/>
          <w:szCs w:val="24"/>
        </w:rPr>
      </w:pPr>
      <w:r w:rsidRPr="00807EDB">
        <w:rPr>
          <w:sz w:val="24"/>
          <w:szCs w:val="24"/>
          <w:lang w:eastAsia="en-US"/>
        </w:rPr>
        <w:t>“</w:t>
      </w:r>
      <w:r w:rsidRPr="00807EDB">
        <w:rPr>
          <w:sz w:val="24"/>
          <w:szCs w:val="24"/>
          <w:vertAlign w:val="superscript"/>
          <w:lang w:eastAsia="en-US"/>
        </w:rPr>
        <w:t>1</w:t>
      </w:r>
      <w:r w:rsidRPr="00807EDB">
        <w:rPr>
          <w:b/>
          <w:bCs/>
          <w:sz w:val="24"/>
          <w:szCs w:val="24"/>
          <w:vertAlign w:val="superscript"/>
          <w:lang w:eastAsia="en-US"/>
        </w:rPr>
        <w:t xml:space="preserve"> </w:t>
      </w:r>
      <w:r w:rsidRPr="00807EDB">
        <w:rPr>
          <w:sz w:val="24"/>
          <w:szCs w:val="24"/>
        </w:rPr>
        <w:t>Yaklaşık maliyeti, 4734 sayılı Kanunun 13 üncü maddesinin birinci fıkrasının (b) bendinin (2) numaralı alt bendinde hizmet alımları için öngörülen üst limit tutarına eşit ve bu tutarın üzerinde olan taşımalı ilköğretim kapsamında yapılan öğrenci taşıma hizmet alımı ihalelerinde iş deneyimini gösteren belgelerin istenilmesi zorunludur.”</w:t>
      </w:r>
    </w:p>
    <w:p w:rsidR="00807EDB" w:rsidRDefault="00807EDB" w:rsidP="00807EDB">
      <w:pPr>
        <w:widowControl w:val="0"/>
        <w:spacing w:line="240" w:lineRule="exact"/>
        <w:ind w:firstLine="567"/>
        <w:jc w:val="both"/>
        <w:rPr>
          <w:rFonts w:eastAsia="ヒラギノ明朝Pro W3"/>
          <w:b/>
          <w:bCs/>
          <w:sz w:val="24"/>
          <w:szCs w:val="24"/>
          <w:lang w:eastAsia="en-US"/>
        </w:rPr>
      </w:pPr>
    </w:p>
    <w:p w:rsidR="00807EDB" w:rsidRPr="00807EDB" w:rsidRDefault="00807EDB" w:rsidP="00807EDB">
      <w:pPr>
        <w:widowControl w:val="0"/>
        <w:spacing w:line="240" w:lineRule="exact"/>
        <w:ind w:firstLine="567"/>
        <w:jc w:val="both"/>
        <w:rPr>
          <w:rFonts w:eastAsia="ヒラギノ明朝Pro W3"/>
          <w:sz w:val="24"/>
          <w:szCs w:val="24"/>
          <w:lang w:eastAsia="en-US"/>
        </w:rPr>
      </w:pPr>
      <w:r w:rsidRPr="00807EDB">
        <w:rPr>
          <w:rFonts w:eastAsia="ヒラギノ明朝Pro W3"/>
          <w:b/>
          <w:bCs/>
          <w:sz w:val="24"/>
          <w:szCs w:val="24"/>
          <w:lang w:eastAsia="en-US"/>
        </w:rPr>
        <w:t>GEÇİCİ MADDE 1 –</w:t>
      </w:r>
      <w:r w:rsidRPr="00807EDB">
        <w:rPr>
          <w:rFonts w:eastAsia="ヒラギノ明朝Pro W3"/>
          <w:sz w:val="24"/>
          <w:szCs w:val="24"/>
          <w:lang w:eastAsia="en-US"/>
        </w:rPr>
        <w:t xml:space="preserve"> Bu Tebliğin yürürlüğe girdiği tarihten önce ilanı veya duyurusu yapılan ihaleler, ilanın veya duyurunun yapıldığı tarihte yürürlükte olan Tebliğ hükümlerine göre sonuçlandırılır. Ancak, 8 inci, 16 ncı ve 17 nci madde hükümleri, ilanı veya duyurusu yapılmış olmakla birlikte ihale tarihi bu Tebliğin yürürlüğe girdiği tarihten sonra olan ihalelerde de uygulanır.</w:t>
      </w:r>
    </w:p>
    <w:p w:rsidR="00807EDB" w:rsidRDefault="00807EDB" w:rsidP="00807EDB">
      <w:pPr>
        <w:tabs>
          <w:tab w:val="left" w:pos="566"/>
        </w:tabs>
        <w:spacing w:line="240" w:lineRule="exact"/>
        <w:ind w:firstLine="567"/>
        <w:jc w:val="both"/>
        <w:rPr>
          <w:rFonts w:eastAsia="ヒラギノ明朝Pro W3"/>
          <w:b/>
          <w:bCs/>
          <w:sz w:val="24"/>
          <w:szCs w:val="24"/>
          <w:lang w:eastAsia="en-US"/>
        </w:rPr>
      </w:pPr>
    </w:p>
    <w:p w:rsidR="00807EDB" w:rsidRPr="00807EDB" w:rsidRDefault="00807EDB" w:rsidP="00807EDB">
      <w:pPr>
        <w:tabs>
          <w:tab w:val="left" w:pos="566"/>
        </w:tabs>
        <w:spacing w:line="240" w:lineRule="exact"/>
        <w:ind w:firstLine="567"/>
        <w:jc w:val="both"/>
        <w:rPr>
          <w:rFonts w:eastAsia="ヒラギノ明朝Pro W3"/>
          <w:sz w:val="24"/>
          <w:szCs w:val="24"/>
          <w:lang w:eastAsia="en-US"/>
        </w:rPr>
      </w:pPr>
      <w:r w:rsidRPr="00807EDB">
        <w:rPr>
          <w:rFonts w:eastAsia="ヒラギノ明朝Pro W3"/>
          <w:b/>
          <w:bCs/>
          <w:sz w:val="24"/>
          <w:szCs w:val="24"/>
          <w:lang w:eastAsia="en-US"/>
        </w:rPr>
        <w:t>MADDE 35 –</w:t>
      </w:r>
      <w:r w:rsidRPr="00807EDB">
        <w:rPr>
          <w:rFonts w:eastAsia="ヒラギノ明朝Pro W3"/>
          <w:sz w:val="24"/>
          <w:szCs w:val="24"/>
          <w:lang w:eastAsia="en-US"/>
        </w:rPr>
        <w:t xml:space="preserve"> Bu Tebliğ 1/9/2011 tarihinde yürürlüğe girer.</w:t>
      </w:r>
    </w:p>
    <w:p w:rsidR="00807EDB" w:rsidRDefault="00807EDB" w:rsidP="00807EDB">
      <w:pPr>
        <w:tabs>
          <w:tab w:val="left" w:pos="566"/>
        </w:tabs>
        <w:spacing w:line="240" w:lineRule="exact"/>
        <w:ind w:firstLine="567"/>
        <w:jc w:val="both"/>
        <w:rPr>
          <w:rFonts w:eastAsia="ヒラギノ明朝Pro W3"/>
          <w:b/>
          <w:bCs/>
          <w:sz w:val="24"/>
          <w:szCs w:val="24"/>
          <w:lang w:eastAsia="en-US"/>
        </w:rPr>
      </w:pPr>
    </w:p>
    <w:p w:rsidR="00807EDB" w:rsidRDefault="00807EDB" w:rsidP="00807EDB">
      <w:pPr>
        <w:tabs>
          <w:tab w:val="left" w:pos="566"/>
        </w:tabs>
        <w:spacing w:line="240" w:lineRule="exact"/>
        <w:ind w:firstLine="567"/>
        <w:jc w:val="both"/>
        <w:rPr>
          <w:rFonts w:eastAsia="ヒラギノ明朝Pro W3"/>
          <w:sz w:val="24"/>
          <w:szCs w:val="24"/>
          <w:lang w:eastAsia="en-US"/>
        </w:rPr>
      </w:pPr>
      <w:r w:rsidRPr="00807EDB">
        <w:rPr>
          <w:rFonts w:eastAsia="ヒラギノ明朝Pro W3"/>
          <w:b/>
          <w:bCs/>
          <w:sz w:val="24"/>
          <w:szCs w:val="24"/>
          <w:lang w:eastAsia="en-US"/>
        </w:rPr>
        <w:t>MADDE 36 –</w:t>
      </w:r>
      <w:r w:rsidRPr="00807EDB">
        <w:rPr>
          <w:rFonts w:eastAsia="ヒラギノ明朝Pro W3"/>
          <w:sz w:val="24"/>
          <w:szCs w:val="24"/>
          <w:lang w:eastAsia="en-US"/>
        </w:rPr>
        <w:t xml:space="preserve"> Bu Tebliğ hükümlerini Kamu İhale Kurumu Başkanı yürütür.</w:t>
      </w:r>
    </w:p>
    <w:p w:rsidR="00807EDB" w:rsidRDefault="00807EDB" w:rsidP="00807EDB">
      <w:pPr>
        <w:tabs>
          <w:tab w:val="left" w:pos="566"/>
        </w:tabs>
        <w:spacing w:line="240" w:lineRule="exact"/>
        <w:ind w:firstLine="567"/>
        <w:jc w:val="both"/>
        <w:rPr>
          <w:rFonts w:eastAsia="ヒラギノ明朝Pro W3"/>
          <w:sz w:val="24"/>
          <w:szCs w:val="24"/>
          <w:lang w:eastAsia="en-US"/>
        </w:rPr>
      </w:pPr>
    </w:p>
    <w:p w:rsidR="00807EDB" w:rsidRDefault="00807EDB" w:rsidP="00807EDB">
      <w:pPr>
        <w:tabs>
          <w:tab w:val="left" w:pos="566"/>
        </w:tabs>
        <w:spacing w:after="120"/>
        <w:jc w:val="both"/>
        <w:rPr>
          <w:rFonts w:eastAsia="ヒラギノ明朝Pro W3"/>
          <w:sz w:val="24"/>
          <w:szCs w:val="24"/>
          <w:lang w:eastAsia="en-US"/>
        </w:rPr>
      </w:pPr>
    </w:p>
    <w:p w:rsidR="00222A97" w:rsidRDefault="00222A97" w:rsidP="00807EDB">
      <w:pPr>
        <w:tabs>
          <w:tab w:val="left" w:pos="566"/>
        </w:tabs>
        <w:spacing w:after="120"/>
        <w:jc w:val="both"/>
        <w:rPr>
          <w:rFonts w:eastAsia="ヒラギノ明朝Pro W3"/>
          <w:sz w:val="24"/>
          <w:szCs w:val="24"/>
          <w:lang w:eastAsia="en-US"/>
        </w:rPr>
      </w:pPr>
    </w:p>
    <w:p w:rsidR="00222A97" w:rsidRDefault="00222A97" w:rsidP="00807EDB">
      <w:pPr>
        <w:tabs>
          <w:tab w:val="left" w:pos="566"/>
        </w:tabs>
        <w:spacing w:after="120"/>
        <w:jc w:val="both"/>
        <w:rPr>
          <w:rFonts w:eastAsia="ヒラギノ明朝Pro W3"/>
          <w:sz w:val="24"/>
          <w:szCs w:val="24"/>
          <w:lang w:eastAsia="en-US"/>
        </w:rPr>
      </w:pPr>
    </w:p>
    <w:p w:rsidR="00222A97" w:rsidRDefault="00222A97" w:rsidP="00807EDB">
      <w:pPr>
        <w:tabs>
          <w:tab w:val="left" w:pos="566"/>
        </w:tabs>
        <w:spacing w:after="120"/>
        <w:jc w:val="both"/>
        <w:rPr>
          <w:rFonts w:eastAsia="ヒラギノ明朝Pro W3"/>
          <w:sz w:val="24"/>
          <w:szCs w:val="24"/>
          <w:lang w:eastAsia="en-US"/>
        </w:rPr>
      </w:pPr>
    </w:p>
    <w:p w:rsidR="00222A97" w:rsidRDefault="00222A97" w:rsidP="00807EDB">
      <w:pPr>
        <w:tabs>
          <w:tab w:val="left" w:pos="566"/>
        </w:tabs>
        <w:spacing w:after="120"/>
        <w:jc w:val="both"/>
        <w:rPr>
          <w:rFonts w:eastAsia="ヒラギノ明朝Pro W3"/>
          <w:sz w:val="24"/>
          <w:szCs w:val="24"/>
          <w:lang w:eastAsia="en-US"/>
        </w:rPr>
      </w:pPr>
    </w:p>
    <w:p w:rsidR="00222A97" w:rsidRPr="00807EDB" w:rsidRDefault="00222A97" w:rsidP="00807EDB">
      <w:pPr>
        <w:tabs>
          <w:tab w:val="left" w:pos="566"/>
        </w:tabs>
        <w:spacing w:after="120"/>
        <w:jc w:val="both"/>
        <w:rPr>
          <w:rFonts w:eastAsia="ヒラギノ明朝Pro W3"/>
          <w:sz w:val="24"/>
          <w:szCs w:val="24"/>
          <w:lang w:eastAsia="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
        <w:gridCol w:w="3817"/>
        <w:gridCol w:w="4251"/>
      </w:tblGrid>
      <w:tr w:rsidR="00807EDB" w:rsidRPr="00807EDB">
        <w:trPr>
          <w:jc w:val="center"/>
        </w:trPr>
        <w:tc>
          <w:tcPr>
            <w:tcW w:w="8505" w:type="dxa"/>
            <w:gridSpan w:val="3"/>
            <w:tcBorders>
              <w:top w:val="single" w:sz="4" w:space="0" w:color="auto"/>
              <w:left w:val="single" w:sz="4" w:space="0" w:color="auto"/>
              <w:bottom w:val="nil"/>
              <w:right w:val="single" w:sz="4" w:space="0" w:color="auto"/>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lastRenderedPageBreak/>
              <w:t>Tebliğin Yayımlandığı Resmî Gazete'nin</w:t>
            </w:r>
          </w:p>
        </w:tc>
      </w:tr>
      <w:tr w:rsidR="00807EDB" w:rsidRPr="00807EDB">
        <w:trPr>
          <w:jc w:val="center"/>
        </w:trPr>
        <w:tc>
          <w:tcPr>
            <w:tcW w:w="4254" w:type="dxa"/>
            <w:gridSpan w:val="2"/>
            <w:tcBorders>
              <w:top w:val="nil"/>
              <w:left w:val="single" w:sz="4" w:space="0" w:color="auto"/>
              <w:bottom w:val="single" w:sz="4" w:space="0" w:color="auto"/>
              <w:right w:val="nil"/>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t>Tarihi</w:t>
            </w:r>
          </w:p>
        </w:tc>
        <w:tc>
          <w:tcPr>
            <w:tcW w:w="4251" w:type="dxa"/>
            <w:tcBorders>
              <w:top w:val="nil"/>
              <w:left w:val="nil"/>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t>Sayısı</w:t>
            </w:r>
          </w:p>
        </w:tc>
      </w:tr>
      <w:tr w:rsidR="00807EDB" w:rsidRPr="00807EDB">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22/8/2009</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27327</w:t>
            </w:r>
          </w:p>
        </w:tc>
      </w:tr>
      <w:tr w:rsidR="00807EDB" w:rsidRPr="00807EDB">
        <w:trPr>
          <w:jc w:val="center"/>
        </w:trPr>
        <w:tc>
          <w:tcPr>
            <w:tcW w:w="8505" w:type="dxa"/>
            <w:gridSpan w:val="3"/>
            <w:tcBorders>
              <w:top w:val="single" w:sz="4" w:space="0" w:color="auto"/>
              <w:left w:val="single" w:sz="4" w:space="0" w:color="auto"/>
              <w:bottom w:val="nil"/>
              <w:right w:val="single" w:sz="4" w:space="0" w:color="auto"/>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t>Tebliğde Değişiklik Yapan Tebliğlerin Yayımlandığı Resmî Gazetelerin</w:t>
            </w:r>
          </w:p>
        </w:tc>
      </w:tr>
      <w:tr w:rsidR="00807EDB" w:rsidRPr="00807EDB">
        <w:trPr>
          <w:jc w:val="center"/>
        </w:trPr>
        <w:tc>
          <w:tcPr>
            <w:tcW w:w="4254" w:type="dxa"/>
            <w:gridSpan w:val="2"/>
            <w:tcBorders>
              <w:top w:val="nil"/>
              <w:left w:val="single" w:sz="4" w:space="0" w:color="auto"/>
              <w:bottom w:val="single" w:sz="4" w:space="0" w:color="auto"/>
              <w:right w:val="nil"/>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t>Tarihi</w:t>
            </w:r>
          </w:p>
        </w:tc>
        <w:tc>
          <w:tcPr>
            <w:tcW w:w="4251" w:type="dxa"/>
            <w:tcBorders>
              <w:top w:val="nil"/>
              <w:left w:val="nil"/>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b/>
                <w:bCs/>
                <w:sz w:val="24"/>
                <w:szCs w:val="24"/>
                <w:lang w:eastAsia="en-US"/>
              </w:rPr>
            </w:pPr>
            <w:r w:rsidRPr="00807EDB">
              <w:rPr>
                <w:rFonts w:eastAsia="ヒラギノ明朝Pro W3"/>
                <w:b/>
                <w:bCs/>
                <w:sz w:val="24"/>
                <w:szCs w:val="24"/>
                <w:lang w:eastAsia="en-US"/>
              </w:rPr>
              <w:t>Sayısı</w:t>
            </w:r>
          </w:p>
        </w:tc>
      </w:tr>
      <w:tr w:rsidR="00807EDB" w:rsidRPr="00807EDB">
        <w:trPr>
          <w:jc w:val="center"/>
        </w:trPr>
        <w:tc>
          <w:tcPr>
            <w:tcW w:w="43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1-</w:t>
            </w:r>
          </w:p>
        </w:tc>
        <w:tc>
          <w:tcPr>
            <w:tcW w:w="381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708"/>
              </w:tabs>
              <w:spacing w:after="120"/>
              <w:ind w:right="469"/>
              <w:jc w:val="center"/>
              <w:rPr>
                <w:rFonts w:eastAsia="ヒラギノ明朝Pro W3"/>
                <w:sz w:val="24"/>
                <w:szCs w:val="24"/>
                <w:lang w:eastAsia="en-US"/>
              </w:rPr>
            </w:pPr>
            <w:r w:rsidRPr="00807EDB">
              <w:rPr>
                <w:rFonts w:eastAsia="ヒラギノ明朝Pro W3"/>
                <w:sz w:val="24"/>
                <w:szCs w:val="24"/>
                <w:lang w:eastAsia="en-US"/>
              </w:rPr>
              <w:t>4/3/2010</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27511</w:t>
            </w:r>
          </w:p>
        </w:tc>
      </w:tr>
      <w:tr w:rsidR="00807EDB" w:rsidRPr="00807EDB">
        <w:trPr>
          <w:jc w:val="center"/>
        </w:trPr>
        <w:tc>
          <w:tcPr>
            <w:tcW w:w="43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w:t>
            </w:r>
          </w:p>
        </w:tc>
        <w:tc>
          <w:tcPr>
            <w:tcW w:w="381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708"/>
              </w:tabs>
              <w:spacing w:after="120"/>
              <w:ind w:right="469"/>
              <w:jc w:val="center"/>
              <w:rPr>
                <w:rFonts w:eastAsia="ヒラギノ明朝Pro W3"/>
                <w:sz w:val="24"/>
                <w:szCs w:val="24"/>
                <w:lang w:eastAsia="en-US"/>
              </w:rPr>
            </w:pPr>
            <w:r w:rsidRPr="00807EDB">
              <w:rPr>
                <w:rFonts w:eastAsia="ヒラギノ明朝Pro W3"/>
                <w:sz w:val="24"/>
                <w:szCs w:val="24"/>
                <w:lang w:eastAsia="en-US"/>
              </w:rPr>
              <w:t>30/7/2010</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27657</w:t>
            </w:r>
          </w:p>
        </w:tc>
      </w:tr>
      <w:tr w:rsidR="00807EDB" w:rsidRPr="00807EDB">
        <w:trPr>
          <w:jc w:val="center"/>
        </w:trPr>
        <w:tc>
          <w:tcPr>
            <w:tcW w:w="43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3-</w:t>
            </w:r>
          </w:p>
        </w:tc>
        <w:tc>
          <w:tcPr>
            <w:tcW w:w="381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708"/>
              </w:tabs>
              <w:spacing w:after="120"/>
              <w:ind w:right="469"/>
              <w:jc w:val="center"/>
              <w:rPr>
                <w:rFonts w:eastAsia="ヒラギノ明朝Pro W3"/>
                <w:sz w:val="24"/>
                <w:szCs w:val="24"/>
                <w:lang w:eastAsia="en-US"/>
              </w:rPr>
            </w:pPr>
            <w:r w:rsidRPr="00807EDB">
              <w:rPr>
                <w:rFonts w:eastAsia="ヒラギノ明朝Pro W3"/>
                <w:sz w:val="24"/>
                <w:szCs w:val="24"/>
                <w:lang w:eastAsia="en-US"/>
              </w:rPr>
              <w:t>29/12/2010</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27800 (6. Mükerrer)</w:t>
            </w:r>
          </w:p>
        </w:tc>
      </w:tr>
      <w:tr w:rsidR="00807EDB" w:rsidRPr="00807EDB">
        <w:trPr>
          <w:jc w:val="center"/>
        </w:trPr>
        <w:tc>
          <w:tcPr>
            <w:tcW w:w="43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4-</w:t>
            </w:r>
          </w:p>
        </w:tc>
        <w:tc>
          <w:tcPr>
            <w:tcW w:w="381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708"/>
              </w:tabs>
              <w:spacing w:after="120"/>
              <w:ind w:right="469"/>
              <w:jc w:val="center"/>
              <w:rPr>
                <w:rFonts w:eastAsia="ヒラギノ明朝Pro W3"/>
                <w:sz w:val="24"/>
                <w:szCs w:val="24"/>
                <w:lang w:eastAsia="en-US"/>
              </w:rPr>
            </w:pPr>
            <w:r w:rsidRPr="00807EDB">
              <w:rPr>
                <w:rFonts w:eastAsia="ヒラギノ明朝Pro W3"/>
                <w:sz w:val="24"/>
                <w:szCs w:val="24"/>
                <w:lang w:eastAsia="en-US"/>
              </w:rPr>
              <w:t>9/2/2011</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27841</w:t>
            </w:r>
          </w:p>
        </w:tc>
      </w:tr>
      <w:tr w:rsidR="00807EDB" w:rsidRPr="00807EDB">
        <w:trPr>
          <w:jc w:val="center"/>
        </w:trPr>
        <w:tc>
          <w:tcPr>
            <w:tcW w:w="43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5-</w:t>
            </w:r>
          </w:p>
        </w:tc>
        <w:tc>
          <w:tcPr>
            <w:tcW w:w="3817"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708"/>
              </w:tabs>
              <w:spacing w:after="120"/>
              <w:ind w:right="469"/>
              <w:jc w:val="center"/>
              <w:rPr>
                <w:rFonts w:eastAsia="ヒラギノ明朝Pro W3"/>
                <w:sz w:val="24"/>
                <w:szCs w:val="24"/>
                <w:lang w:eastAsia="en-US"/>
              </w:rPr>
            </w:pPr>
            <w:r w:rsidRPr="00807EDB">
              <w:rPr>
                <w:rFonts w:eastAsia="ヒラギノ明朝Pro W3"/>
                <w:sz w:val="24"/>
                <w:szCs w:val="24"/>
                <w:lang w:eastAsia="en-US"/>
              </w:rPr>
              <w:t>20/4/2011</w:t>
            </w:r>
          </w:p>
        </w:tc>
        <w:tc>
          <w:tcPr>
            <w:tcW w:w="4251" w:type="dxa"/>
            <w:tcBorders>
              <w:top w:val="single" w:sz="4" w:space="0" w:color="auto"/>
              <w:left w:val="single" w:sz="4" w:space="0" w:color="auto"/>
              <w:bottom w:val="single" w:sz="4" w:space="0" w:color="auto"/>
              <w:right w:val="single" w:sz="4" w:space="0" w:color="auto"/>
            </w:tcBorders>
            <w:hideMark/>
          </w:tcPr>
          <w:p w:rsidR="00807EDB" w:rsidRPr="00807EDB" w:rsidRDefault="00807EDB" w:rsidP="00807EDB">
            <w:pPr>
              <w:tabs>
                <w:tab w:val="left" w:pos="566"/>
              </w:tabs>
              <w:spacing w:after="120"/>
              <w:jc w:val="center"/>
              <w:rPr>
                <w:rFonts w:eastAsia="ヒラギノ明朝Pro W3"/>
                <w:sz w:val="24"/>
                <w:szCs w:val="24"/>
                <w:lang w:eastAsia="en-US"/>
              </w:rPr>
            </w:pPr>
            <w:r w:rsidRPr="00807EDB">
              <w:rPr>
                <w:rFonts w:eastAsia="ヒラギノ明朝Pro W3"/>
                <w:sz w:val="24"/>
                <w:szCs w:val="24"/>
                <w:lang w:eastAsia="en-US"/>
              </w:rPr>
              <w:t>27657</w:t>
            </w:r>
          </w:p>
        </w:tc>
      </w:tr>
    </w:tbl>
    <w:p w:rsidR="00807EDB" w:rsidRPr="00807EDB" w:rsidRDefault="00807EDB" w:rsidP="00807EDB">
      <w:pPr>
        <w:spacing w:before="100" w:beforeAutospacing="1" w:after="120"/>
        <w:rPr>
          <w:b/>
          <w:bCs/>
          <w:sz w:val="24"/>
          <w:szCs w:val="24"/>
        </w:rPr>
      </w:pPr>
    </w:p>
    <w:p w:rsidR="00807EDB" w:rsidRPr="00807EDB" w:rsidRDefault="00807EDB" w:rsidP="00807EDB">
      <w:pPr>
        <w:rPr>
          <w:sz w:val="24"/>
          <w:szCs w:val="24"/>
        </w:rPr>
      </w:pPr>
    </w:p>
    <w:p w:rsidR="00230887" w:rsidRPr="00807EDB" w:rsidRDefault="00230887" w:rsidP="00807EDB">
      <w:pPr>
        <w:widowControl w:val="0"/>
        <w:spacing w:after="120"/>
        <w:jc w:val="center"/>
        <w:rPr>
          <w:sz w:val="24"/>
          <w:szCs w:val="24"/>
        </w:rPr>
      </w:pPr>
    </w:p>
    <w:sectPr w:rsidR="00230887" w:rsidRPr="00807EDB" w:rsidSect="0023088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20" w:rsidRDefault="00105F20" w:rsidP="000B5FE0">
      <w:r>
        <w:separator/>
      </w:r>
    </w:p>
  </w:endnote>
  <w:endnote w:type="continuationSeparator" w:id="1">
    <w:p w:rsidR="00105F20" w:rsidRDefault="00105F20" w:rsidP="000B5F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4100"/>
      <w:docPartObj>
        <w:docPartGallery w:val="Page Numbers (Bottom of Page)"/>
        <w:docPartUnique/>
      </w:docPartObj>
    </w:sdtPr>
    <w:sdtContent>
      <w:p w:rsidR="000B5FE0" w:rsidRDefault="008E497F">
        <w:pPr>
          <w:pStyle w:val="Altbilgi"/>
          <w:jc w:val="right"/>
        </w:pPr>
        <w:fldSimple w:instr=" PAGE   \* MERGEFORMAT ">
          <w:r w:rsidR="007A1C6C">
            <w:rPr>
              <w:noProof/>
            </w:rPr>
            <w:t>1</w:t>
          </w:r>
        </w:fldSimple>
      </w:p>
    </w:sdtContent>
  </w:sdt>
  <w:p w:rsidR="000B5FE0" w:rsidRDefault="000B5FE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20" w:rsidRDefault="00105F20" w:rsidP="000B5FE0">
      <w:r>
        <w:separator/>
      </w:r>
    </w:p>
  </w:footnote>
  <w:footnote w:type="continuationSeparator" w:id="1">
    <w:p w:rsidR="00105F20" w:rsidRDefault="00105F20" w:rsidP="000B5F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F1C7A"/>
    <w:rsid w:val="000B5FE0"/>
    <w:rsid w:val="00105F20"/>
    <w:rsid w:val="00130599"/>
    <w:rsid w:val="00222A97"/>
    <w:rsid w:val="00226412"/>
    <w:rsid w:val="00230887"/>
    <w:rsid w:val="003048C2"/>
    <w:rsid w:val="00372C91"/>
    <w:rsid w:val="003D5EA3"/>
    <w:rsid w:val="003F399A"/>
    <w:rsid w:val="004D170C"/>
    <w:rsid w:val="005E1ED2"/>
    <w:rsid w:val="005E4D0B"/>
    <w:rsid w:val="006C40B8"/>
    <w:rsid w:val="007A1C6C"/>
    <w:rsid w:val="007C1537"/>
    <w:rsid w:val="00807EDB"/>
    <w:rsid w:val="008D4659"/>
    <w:rsid w:val="008E497F"/>
    <w:rsid w:val="009C4507"/>
    <w:rsid w:val="00A07BDE"/>
    <w:rsid w:val="00AB1311"/>
    <w:rsid w:val="00B670E5"/>
    <w:rsid w:val="00BE2A7A"/>
    <w:rsid w:val="00CC52E6"/>
    <w:rsid w:val="00CE4E50"/>
    <w:rsid w:val="00DF1C7A"/>
    <w:rsid w:val="00E5629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7A"/>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DF1C7A"/>
    <w:pPr>
      <w:jc w:val="center"/>
    </w:pPr>
    <w:rPr>
      <w:b/>
      <w:sz w:val="28"/>
    </w:rPr>
  </w:style>
  <w:style w:type="character" w:customStyle="1" w:styleId="KonuBalChar">
    <w:name w:val="Konu Başlığı Char"/>
    <w:basedOn w:val="VarsaylanParagrafYazTipi"/>
    <w:link w:val="KonuBal"/>
    <w:rsid w:val="00DF1C7A"/>
    <w:rPr>
      <w:rFonts w:ascii="Times New Roman" w:eastAsia="Times New Roman" w:hAnsi="Times New Roman" w:cs="Times New Roman"/>
      <w:b/>
      <w:sz w:val="28"/>
      <w:szCs w:val="20"/>
      <w:lang w:eastAsia="tr-TR"/>
    </w:rPr>
  </w:style>
  <w:style w:type="paragraph" w:customStyle="1" w:styleId="3-NormalYaz">
    <w:name w:val="3-Normal Yazı"/>
    <w:rsid w:val="00DF1C7A"/>
    <w:pPr>
      <w:tabs>
        <w:tab w:val="left" w:pos="566"/>
      </w:tabs>
      <w:spacing w:after="0" w:line="240" w:lineRule="auto"/>
      <w:jc w:val="both"/>
    </w:pPr>
    <w:rPr>
      <w:rFonts w:ascii="Times New Roman" w:eastAsia="Times New Roman" w:hAnsi="Times New Roman" w:cs="Times New Roman"/>
      <w:sz w:val="19"/>
      <w:szCs w:val="20"/>
    </w:rPr>
  </w:style>
  <w:style w:type="paragraph" w:styleId="stbilgi">
    <w:name w:val="header"/>
    <w:basedOn w:val="Normal"/>
    <w:link w:val="stbilgiChar"/>
    <w:uiPriority w:val="99"/>
    <w:semiHidden/>
    <w:unhideWhenUsed/>
    <w:rsid w:val="000B5FE0"/>
    <w:pPr>
      <w:tabs>
        <w:tab w:val="center" w:pos="4536"/>
        <w:tab w:val="right" w:pos="9072"/>
      </w:tabs>
    </w:pPr>
  </w:style>
  <w:style w:type="character" w:customStyle="1" w:styleId="stbilgiChar">
    <w:name w:val="Üstbilgi Char"/>
    <w:basedOn w:val="VarsaylanParagrafYazTipi"/>
    <w:link w:val="stbilgi"/>
    <w:uiPriority w:val="99"/>
    <w:semiHidden/>
    <w:rsid w:val="000B5FE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0B5FE0"/>
    <w:pPr>
      <w:tabs>
        <w:tab w:val="center" w:pos="4536"/>
        <w:tab w:val="right" w:pos="9072"/>
      </w:tabs>
    </w:pPr>
  </w:style>
  <w:style w:type="character" w:customStyle="1" w:styleId="AltbilgiChar">
    <w:name w:val="Altbilgi Char"/>
    <w:basedOn w:val="VarsaylanParagrafYazTipi"/>
    <w:link w:val="Altbilgi"/>
    <w:uiPriority w:val="99"/>
    <w:rsid w:val="000B5FE0"/>
    <w:rPr>
      <w:rFonts w:ascii="Times New Roman" w:eastAsia="Times New Roman" w:hAnsi="Times New Roman" w:cs="Times New Roman"/>
      <w:sz w:val="20"/>
      <w:szCs w:val="20"/>
      <w:lang w:eastAsia="tr-TR"/>
    </w:rPr>
  </w:style>
  <w:style w:type="character" w:customStyle="1" w:styleId="KonuBalChar1">
    <w:name w:val="Konu Başlığı Char1"/>
    <w:basedOn w:val="VarsaylanParagrafYazTipi"/>
    <w:locked/>
    <w:rsid w:val="00807EDB"/>
    <w:rPr>
      <w:rFonts w:ascii="Calibri" w:eastAsia="Calibri" w:hAnsi="Calibri"/>
      <w:b/>
      <w:bCs/>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DB0FF-0CA9-4C20-8E7E-28305D3CE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6325</Words>
  <Characters>36056</Characters>
  <Application>Microsoft Office Word</Application>
  <DocSecurity>0</DocSecurity>
  <Lines>300</Lines>
  <Paragraphs>84</Paragraphs>
  <ScaleCrop>false</ScaleCrop>
  <Company/>
  <LinksUpToDate>false</LinksUpToDate>
  <CharactersWithSpaces>42297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fundatoprak</dc:creator>
  <cp:lastModifiedBy>a</cp:lastModifiedBy>
  <cp:revision>2</cp:revision>
  <dcterms:created xsi:type="dcterms:W3CDTF">2011-08-22T11:25:00Z</dcterms:created>
  <dcterms:modified xsi:type="dcterms:W3CDTF">2011-08-22T11:25:00Z</dcterms:modified>
</cp:coreProperties>
</file>